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rPr>
          <w:rFonts w:ascii="仿宋_GB2312" w:hAnsi="仿宋" w:eastAsia="仿宋_GB2312"/>
          <w:sz w:val="32"/>
          <w:szCs w:val="32"/>
        </w:rPr>
      </w:pPr>
      <w:bookmarkStart w:id="94" w:name="_GoBack"/>
      <w:r>
        <w:rPr>
          <w:rFonts w:hint="eastAsia" w:ascii="仿宋_GB2312" w:hAnsi="仿宋" w:eastAsia="仿宋_GB2312"/>
          <w:sz w:val="32"/>
          <w:szCs w:val="32"/>
        </w:rPr>
        <w:t>附件</w:t>
      </w: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spacing w:line="360" w:lineRule="auto"/>
        <w:jc w:val="center"/>
        <w:rPr>
          <w:rFonts w:eastAsia="黑体"/>
          <w:b/>
          <w:sz w:val="52"/>
          <w:szCs w:val="52"/>
        </w:rPr>
      </w:pPr>
      <w:r>
        <w:rPr>
          <w:rFonts w:hint="eastAsia" w:eastAsia="黑体"/>
          <w:b/>
          <w:sz w:val="52"/>
          <w:szCs w:val="52"/>
        </w:rPr>
        <w:t>农村物流网络节点体系</w:t>
      </w:r>
    </w:p>
    <w:p>
      <w:pPr>
        <w:spacing w:line="360" w:lineRule="auto"/>
        <w:jc w:val="center"/>
        <w:rPr>
          <w:rFonts w:eastAsia="黑体"/>
          <w:b/>
          <w:sz w:val="52"/>
          <w:szCs w:val="52"/>
        </w:rPr>
      </w:pPr>
      <w:r>
        <w:rPr>
          <w:rFonts w:hint="eastAsia" w:eastAsia="黑体"/>
          <w:b/>
          <w:sz w:val="52"/>
          <w:szCs w:val="52"/>
        </w:rPr>
        <w:t>建设指南</w:t>
      </w:r>
      <w:bookmarkEnd w:id="94"/>
    </w:p>
    <w:p>
      <w:pPr>
        <w:spacing w:line="360" w:lineRule="auto"/>
        <w:jc w:val="center"/>
        <w:rPr>
          <w:rFonts w:eastAsia="黑体"/>
          <w:b/>
          <w:sz w:val="52"/>
          <w:szCs w:val="52"/>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jc w:val="center"/>
        <w:rPr>
          <w:rFonts w:eastAsia="黑体"/>
          <w:b/>
          <w:sz w:val="36"/>
          <w:szCs w:val="36"/>
        </w:rPr>
      </w:pPr>
      <w:r>
        <w:rPr>
          <w:rFonts w:hint="eastAsia" w:eastAsia="黑体"/>
          <w:b/>
          <w:sz w:val="36"/>
          <w:szCs w:val="36"/>
        </w:rPr>
        <w:t>二〇一六年十月</w:t>
      </w:r>
    </w:p>
    <w:p>
      <w:pPr>
        <w:jc w:val="center"/>
        <w:rPr>
          <w:rFonts w:eastAsia="黑体"/>
          <w:b/>
          <w:sz w:val="36"/>
          <w:szCs w:val="36"/>
        </w:rPr>
        <w:sectPr>
          <w:headerReference r:id="rId3" w:type="default"/>
          <w:footerReference r:id="rId4" w:type="default"/>
          <w:pgSz w:w="11906" w:h="16838"/>
          <w:pgMar w:top="1440" w:right="1797" w:bottom="1440" w:left="1797" w:header="851" w:footer="992" w:gutter="0"/>
          <w:pgNumType w:start="1"/>
          <w:cols w:space="425" w:num="1"/>
          <w:docGrid w:linePitch="312" w:charSpace="0"/>
        </w:sectPr>
      </w:pPr>
    </w:p>
    <w:p>
      <w:pPr>
        <w:spacing w:line="360" w:lineRule="auto"/>
        <w:jc w:val="center"/>
        <w:rPr>
          <w:rFonts w:eastAsia="黑体"/>
          <w:sz w:val="32"/>
          <w:szCs w:val="32"/>
        </w:rPr>
      </w:pPr>
      <w:r>
        <w:rPr>
          <w:rFonts w:hint="eastAsia" w:eastAsia="黑体"/>
          <w:sz w:val="32"/>
          <w:szCs w:val="32"/>
        </w:rPr>
        <w:t>目 录</w:t>
      </w:r>
    </w:p>
    <w:p>
      <w:pPr>
        <w:pStyle w:val="10"/>
        <w:rPr>
          <w:rFonts w:asciiTheme="minorHAnsi" w:hAnsiTheme="minorHAnsi" w:eastAsiaTheme="minorEastAsia"/>
          <w:kern w:val="2"/>
          <w:sz w:val="21"/>
        </w:rPr>
      </w:pPr>
      <w:r>
        <w:rPr>
          <w:sz w:val="24"/>
          <w:szCs w:val="24"/>
        </w:rPr>
        <w:fldChar w:fldCharType="begin"/>
      </w:r>
      <w:r>
        <w:rPr>
          <w:sz w:val="24"/>
          <w:szCs w:val="24"/>
        </w:rPr>
        <w:instrText xml:space="preserve"> TOC \o "1-3" \h \z \u </w:instrText>
      </w:r>
      <w:r>
        <w:rPr>
          <w:sz w:val="24"/>
          <w:szCs w:val="24"/>
        </w:rPr>
        <w:fldChar w:fldCharType="separate"/>
      </w:r>
    </w:p>
    <w:p>
      <w:pPr>
        <w:pStyle w:val="10"/>
        <w:rPr>
          <w:rFonts w:asciiTheme="minorHAnsi" w:hAnsiTheme="minorHAnsi" w:eastAsiaTheme="minorEastAsia"/>
          <w:kern w:val="2"/>
          <w:sz w:val="21"/>
        </w:rPr>
      </w:pPr>
      <w:r>
        <w:fldChar w:fldCharType="begin"/>
      </w:r>
      <w:r>
        <w:instrText xml:space="preserve"> HYPERLINK \l "_Toc464978301" </w:instrText>
      </w:r>
      <w:r>
        <w:fldChar w:fldCharType="separate"/>
      </w:r>
      <w:r>
        <w:rPr>
          <w:rStyle w:val="13"/>
          <w:rFonts w:hint="eastAsia"/>
        </w:rPr>
        <w:t>前</w:t>
      </w:r>
      <w:r>
        <w:rPr>
          <w:rStyle w:val="13"/>
        </w:rPr>
        <w:t xml:space="preserve">  </w:t>
      </w:r>
      <w:r>
        <w:rPr>
          <w:rStyle w:val="13"/>
          <w:rFonts w:hint="eastAsia"/>
        </w:rPr>
        <w:t>言</w:t>
      </w:r>
      <w:r>
        <w:tab/>
      </w:r>
      <w:r>
        <w:fldChar w:fldCharType="begin"/>
      </w:r>
      <w:r>
        <w:instrText xml:space="preserve"> PAGEREF _Toc464978301 \h </w:instrText>
      </w:r>
      <w:r>
        <w:fldChar w:fldCharType="separate"/>
      </w:r>
      <w:r>
        <w:t>1</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"_Toc464978302" </w:instrText>
      </w:r>
      <w:r>
        <w:fldChar w:fldCharType="separate"/>
      </w:r>
      <w:r>
        <w:rPr>
          <w:rStyle w:val="13"/>
        </w:rPr>
        <w:t>1</w:t>
      </w:r>
      <w:r>
        <w:rPr>
          <w:rStyle w:val="13"/>
          <w:rFonts w:hint="eastAsia"/>
        </w:rPr>
        <w:t>范围</w:t>
      </w:r>
      <w:r>
        <w:tab/>
      </w:r>
      <w:r>
        <w:fldChar w:fldCharType="begin"/>
      </w:r>
      <w:r>
        <w:instrText xml:space="preserve"> PAGEREF _Toc464978302 \h </w:instrText>
      </w:r>
      <w:r>
        <w:fldChar w:fldCharType="separate"/>
      </w:r>
      <w:r>
        <w:t>3</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"_Toc464978303" </w:instrText>
      </w:r>
      <w:r>
        <w:fldChar w:fldCharType="separate"/>
      </w:r>
      <w:r>
        <w:rPr>
          <w:rStyle w:val="13"/>
        </w:rPr>
        <w:t>2</w:t>
      </w:r>
      <w:r>
        <w:rPr>
          <w:rStyle w:val="13"/>
          <w:rFonts w:hint="eastAsia"/>
        </w:rPr>
        <w:t>定义</w:t>
      </w:r>
      <w:r>
        <w:tab/>
      </w:r>
      <w:r>
        <w:fldChar w:fldCharType="begin"/>
      </w:r>
      <w:r>
        <w:instrText xml:space="preserve"> PAGEREF _Toc464978303 \h </w:instrText>
      </w:r>
      <w:r>
        <w:fldChar w:fldCharType="separate"/>
      </w:r>
      <w:r>
        <w:t>3</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"_Toc464978304" </w:instrText>
      </w:r>
      <w:r>
        <w:fldChar w:fldCharType="separate"/>
      </w:r>
      <w:r>
        <w:rPr>
          <w:rStyle w:val="13"/>
        </w:rPr>
        <w:t>2.1</w:t>
      </w:r>
      <w:r>
        <w:rPr>
          <w:rStyle w:val="13"/>
          <w:rFonts w:hint="eastAsia"/>
        </w:rPr>
        <w:t>农村物流</w:t>
      </w:r>
      <w:r>
        <w:tab/>
      </w:r>
      <w:r>
        <w:fldChar w:fldCharType="begin"/>
      </w:r>
      <w:r>
        <w:instrText xml:space="preserve"> PAGEREF _Toc464978304 \h </w:instrText>
      </w:r>
      <w:r>
        <w:fldChar w:fldCharType="separate"/>
      </w:r>
      <w:r>
        <w:t>3</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"_Toc464978305" </w:instrText>
      </w:r>
      <w:r>
        <w:fldChar w:fldCharType="separate"/>
      </w:r>
      <w:r>
        <w:rPr>
          <w:rStyle w:val="13"/>
        </w:rPr>
        <w:t>2.2</w:t>
      </w:r>
      <w:r>
        <w:rPr>
          <w:rStyle w:val="13"/>
          <w:rFonts w:hint="eastAsia"/>
        </w:rPr>
        <w:t>农村物流网络节点体系</w:t>
      </w:r>
      <w:r>
        <w:tab/>
      </w:r>
      <w:r>
        <w:fldChar w:fldCharType="begin"/>
      </w:r>
      <w:r>
        <w:instrText xml:space="preserve"> PAGEREF _Toc464978305 \h </w:instrText>
      </w:r>
      <w:r>
        <w:fldChar w:fldCharType="separate"/>
      </w:r>
      <w:r>
        <w:t>3</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"_Toc464978306" </w:instrText>
      </w:r>
      <w:r>
        <w:fldChar w:fldCharType="separate"/>
      </w:r>
      <w:r>
        <w:rPr>
          <w:rStyle w:val="13"/>
        </w:rPr>
        <w:t>3</w:t>
      </w:r>
      <w:r>
        <w:rPr>
          <w:rStyle w:val="13"/>
          <w:rFonts w:hint="eastAsia"/>
        </w:rPr>
        <w:t>节点体系功能定位</w:t>
      </w:r>
      <w:r>
        <w:tab/>
      </w:r>
      <w:r>
        <w:fldChar w:fldCharType="begin"/>
      </w:r>
      <w:r>
        <w:instrText xml:space="preserve"> PAGEREF _Toc464978306 \h </w:instrText>
      </w:r>
      <w:r>
        <w:fldChar w:fldCharType="separate"/>
      </w:r>
      <w:r>
        <w:t>3</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"_Toc464978307" </w:instrText>
      </w:r>
      <w:r>
        <w:fldChar w:fldCharType="separate"/>
      </w:r>
      <w:r>
        <w:rPr>
          <w:rStyle w:val="13"/>
        </w:rPr>
        <w:t>3.1</w:t>
      </w:r>
      <w:r>
        <w:rPr>
          <w:rStyle w:val="13"/>
          <w:rFonts w:hint="eastAsia"/>
        </w:rPr>
        <w:t>系统功能定位</w:t>
      </w:r>
      <w:r>
        <w:tab/>
      </w:r>
      <w:r>
        <w:fldChar w:fldCharType="begin"/>
      </w:r>
      <w:r>
        <w:instrText xml:space="preserve"> PAGEREF _Toc464978307 \h </w:instrText>
      </w:r>
      <w:r>
        <w:fldChar w:fldCharType="separate"/>
      </w:r>
      <w:r>
        <w:t>3</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"_Toc464978308" </w:instrText>
      </w:r>
      <w:r>
        <w:fldChar w:fldCharType="separate"/>
      </w:r>
      <w:r>
        <w:rPr>
          <w:rStyle w:val="13"/>
        </w:rPr>
        <w:t>3.2</w:t>
      </w:r>
      <w:r>
        <w:rPr>
          <w:rStyle w:val="13"/>
          <w:rFonts w:hint="eastAsia"/>
        </w:rPr>
        <w:t>县级农村物流中心功能定位</w:t>
      </w:r>
      <w:r>
        <w:tab/>
      </w:r>
      <w:r>
        <w:fldChar w:fldCharType="begin"/>
      </w:r>
      <w:r>
        <w:instrText xml:space="preserve"> PAGEREF _Toc464978308 \h </w:instrText>
      </w:r>
      <w:r>
        <w:fldChar w:fldCharType="separate"/>
      </w:r>
      <w:r>
        <w:t>4</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"_Toc464978309" </w:instrText>
      </w:r>
      <w:r>
        <w:fldChar w:fldCharType="separate"/>
      </w:r>
      <w:r>
        <w:rPr>
          <w:rStyle w:val="13"/>
        </w:rPr>
        <w:t>3.3</w:t>
      </w:r>
      <w:r>
        <w:rPr>
          <w:rStyle w:val="13"/>
          <w:rFonts w:hint="eastAsia"/>
        </w:rPr>
        <w:t>乡镇农村物流服务站功能定位</w:t>
      </w:r>
      <w:r>
        <w:tab/>
      </w:r>
      <w:r>
        <w:fldChar w:fldCharType="begin"/>
      </w:r>
      <w:r>
        <w:instrText xml:space="preserve"> PAGEREF _Toc464978309 \h </w:instrText>
      </w:r>
      <w:r>
        <w:fldChar w:fldCharType="separate"/>
      </w:r>
      <w:r>
        <w:t>4</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"_Toc464978310" </w:instrText>
      </w:r>
      <w:r>
        <w:fldChar w:fldCharType="separate"/>
      </w:r>
      <w:r>
        <w:rPr>
          <w:rStyle w:val="13"/>
        </w:rPr>
        <w:t>3.4</w:t>
      </w:r>
      <w:r>
        <w:rPr>
          <w:rStyle w:val="13"/>
          <w:rFonts w:hint="eastAsia"/>
        </w:rPr>
        <w:t>村级农村物流服务点功能定位</w:t>
      </w:r>
      <w:r>
        <w:tab/>
      </w:r>
      <w:r>
        <w:fldChar w:fldCharType="begin"/>
      </w:r>
      <w:r>
        <w:instrText xml:space="preserve"> PAGEREF _Toc464978310 \h </w:instrText>
      </w:r>
      <w:r>
        <w:fldChar w:fldCharType="separate"/>
      </w:r>
      <w:r>
        <w:t>4</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"_Toc464978311" </w:instrText>
      </w:r>
      <w:r>
        <w:fldChar w:fldCharType="separate"/>
      </w:r>
      <w:r>
        <w:rPr>
          <w:rStyle w:val="13"/>
        </w:rPr>
        <w:t>4</w:t>
      </w:r>
      <w:r>
        <w:rPr>
          <w:rStyle w:val="13"/>
          <w:rFonts w:hint="eastAsia"/>
        </w:rPr>
        <w:t>规划建设原则</w:t>
      </w:r>
      <w:r>
        <w:tab/>
      </w:r>
      <w:r>
        <w:fldChar w:fldCharType="begin"/>
      </w:r>
      <w:r>
        <w:instrText xml:space="preserve"> PAGEREF _Toc464978311 \h </w:instrText>
      </w:r>
      <w:r>
        <w:fldChar w:fldCharType="separate"/>
      </w:r>
      <w:r>
        <w:t>4</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"_Toc464978312" </w:instrText>
      </w:r>
      <w:r>
        <w:fldChar w:fldCharType="separate"/>
      </w:r>
      <w:r>
        <w:rPr>
          <w:rStyle w:val="13"/>
        </w:rPr>
        <w:t>5</w:t>
      </w:r>
      <w:r>
        <w:rPr>
          <w:rStyle w:val="13"/>
          <w:rFonts w:hint="eastAsia"/>
        </w:rPr>
        <w:t>节点选址</w:t>
      </w:r>
      <w:r>
        <w:tab/>
      </w:r>
      <w:r>
        <w:fldChar w:fldCharType="begin"/>
      </w:r>
      <w:r>
        <w:instrText xml:space="preserve"> PAGEREF _Toc464978312 \h </w:instrText>
      </w:r>
      <w:r>
        <w:fldChar w:fldCharType="separate"/>
      </w:r>
      <w:r>
        <w:t>5</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"_Toc464978313" </w:instrText>
      </w:r>
      <w:r>
        <w:fldChar w:fldCharType="separate"/>
      </w:r>
      <w:r>
        <w:rPr>
          <w:rStyle w:val="13"/>
        </w:rPr>
        <w:t>5.1</w:t>
      </w:r>
      <w:r>
        <w:rPr>
          <w:rStyle w:val="13"/>
          <w:rFonts w:hint="eastAsia"/>
        </w:rPr>
        <w:t>县级农村物流中心</w:t>
      </w:r>
      <w:r>
        <w:tab/>
      </w:r>
      <w:r>
        <w:fldChar w:fldCharType="begin"/>
      </w:r>
      <w:r>
        <w:instrText xml:space="preserve"> PAGEREF _Toc464978313 \h </w:instrText>
      </w:r>
      <w:r>
        <w:fldChar w:fldCharType="separate"/>
      </w:r>
      <w:r>
        <w:t>5</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"_Toc464978314" </w:instrText>
      </w:r>
      <w:r>
        <w:fldChar w:fldCharType="separate"/>
      </w:r>
      <w:r>
        <w:rPr>
          <w:rStyle w:val="13"/>
        </w:rPr>
        <w:t>5.2</w:t>
      </w:r>
      <w:r>
        <w:rPr>
          <w:rStyle w:val="13"/>
          <w:rFonts w:hint="eastAsia"/>
        </w:rPr>
        <w:t>乡镇农村物流服务站</w:t>
      </w:r>
      <w:r>
        <w:tab/>
      </w:r>
      <w:r>
        <w:fldChar w:fldCharType="begin"/>
      </w:r>
      <w:r>
        <w:instrText xml:space="preserve"> PAGEREF _Toc464978314 \h </w:instrText>
      </w:r>
      <w:r>
        <w:fldChar w:fldCharType="separate"/>
      </w:r>
      <w:r>
        <w:t>5</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"_Toc464978315" </w:instrText>
      </w:r>
      <w:r>
        <w:fldChar w:fldCharType="separate"/>
      </w:r>
      <w:r>
        <w:rPr>
          <w:rStyle w:val="13"/>
        </w:rPr>
        <w:t>5.3</w:t>
      </w:r>
      <w:r>
        <w:rPr>
          <w:rStyle w:val="13"/>
          <w:rFonts w:hint="eastAsia"/>
        </w:rPr>
        <w:t>村级农村物流服务点</w:t>
      </w:r>
      <w:r>
        <w:tab/>
      </w:r>
      <w:r>
        <w:fldChar w:fldCharType="begin"/>
      </w:r>
      <w:r>
        <w:instrText xml:space="preserve"> PAGEREF _Toc464978315 \h </w:instrText>
      </w:r>
      <w:r>
        <w:fldChar w:fldCharType="separate"/>
      </w:r>
      <w:r>
        <w:t>5</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"_Toc464978316" </w:instrText>
      </w:r>
      <w:r>
        <w:fldChar w:fldCharType="separate"/>
      </w:r>
      <w:r>
        <w:rPr>
          <w:rStyle w:val="13"/>
        </w:rPr>
        <w:t>6</w:t>
      </w:r>
      <w:r>
        <w:rPr>
          <w:rStyle w:val="13"/>
          <w:rFonts w:hint="eastAsia"/>
        </w:rPr>
        <w:t>功能和布局</w:t>
      </w:r>
      <w:r>
        <w:tab/>
      </w:r>
      <w:r>
        <w:fldChar w:fldCharType="begin"/>
      </w:r>
      <w:r>
        <w:instrText xml:space="preserve"> PAGEREF _Toc464978316 \h </w:instrText>
      </w:r>
      <w:r>
        <w:fldChar w:fldCharType="separate"/>
      </w:r>
      <w:r>
        <w:t>6</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"_Toc464978317" </w:instrText>
      </w:r>
      <w:r>
        <w:fldChar w:fldCharType="separate"/>
      </w:r>
      <w:r>
        <w:rPr>
          <w:rStyle w:val="13"/>
        </w:rPr>
        <w:t>6.1</w:t>
      </w:r>
      <w:r>
        <w:rPr>
          <w:rStyle w:val="13"/>
          <w:rFonts w:hint="eastAsia"/>
        </w:rPr>
        <w:t>县级农村物流中心</w:t>
      </w:r>
      <w:r>
        <w:tab/>
      </w:r>
      <w:r>
        <w:fldChar w:fldCharType="begin"/>
      </w:r>
      <w:r>
        <w:instrText xml:space="preserve"> PAGEREF _Toc464978317 \h </w:instrText>
      </w:r>
      <w:r>
        <w:fldChar w:fldCharType="separate"/>
      </w:r>
      <w:r>
        <w:t>6</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"_Toc464978320" </w:instrText>
      </w:r>
      <w:r>
        <w:fldChar w:fldCharType="separate"/>
      </w:r>
      <w:r>
        <w:rPr>
          <w:rStyle w:val="13"/>
        </w:rPr>
        <w:t>6.2</w:t>
      </w:r>
      <w:r>
        <w:rPr>
          <w:rStyle w:val="13"/>
          <w:rFonts w:hint="eastAsia"/>
        </w:rPr>
        <w:t>乡镇农村物流服务站</w:t>
      </w:r>
      <w:r>
        <w:tab/>
      </w:r>
      <w:r>
        <w:fldChar w:fldCharType="begin"/>
      </w:r>
      <w:r>
        <w:instrText xml:space="preserve"> PAGEREF _Toc464978320 \h </w:instrText>
      </w:r>
      <w:r>
        <w:fldChar w:fldCharType="separate"/>
      </w:r>
      <w:r>
        <w:t>6</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"_Toc464978323" </w:instrText>
      </w:r>
      <w:r>
        <w:fldChar w:fldCharType="separate"/>
      </w:r>
      <w:r>
        <w:rPr>
          <w:rStyle w:val="13"/>
        </w:rPr>
        <w:t>6.3</w:t>
      </w:r>
      <w:r>
        <w:rPr>
          <w:rStyle w:val="13"/>
          <w:rFonts w:hint="eastAsia"/>
        </w:rPr>
        <w:t>村级农村物流服务点</w:t>
      </w:r>
      <w:r>
        <w:tab/>
      </w:r>
      <w:r>
        <w:fldChar w:fldCharType="begin"/>
      </w:r>
      <w:r>
        <w:instrText xml:space="preserve"> PAGEREF _Toc464978323 \h </w:instrText>
      </w:r>
      <w:r>
        <w:fldChar w:fldCharType="separate"/>
      </w:r>
      <w:r>
        <w:t>7</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"_Toc464978326" </w:instrText>
      </w:r>
      <w:r>
        <w:fldChar w:fldCharType="separate"/>
      </w:r>
      <w:r>
        <w:rPr>
          <w:rStyle w:val="13"/>
        </w:rPr>
        <w:t>7</w:t>
      </w:r>
      <w:r>
        <w:rPr>
          <w:rStyle w:val="13"/>
          <w:rFonts w:hint="eastAsia"/>
        </w:rPr>
        <w:t>设施设备配备</w:t>
      </w:r>
      <w:r>
        <w:tab/>
      </w:r>
      <w:r>
        <w:fldChar w:fldCharType="begin"/>
      </w:r>
      <w:r>
        <w:instrText xml:space="preserve"> PAGEREF _Toc464978326 \h </w:instrText>
      </w:r>
      <w:r>
        <w:fldChar w:fldCharType="separate"/>
      </w:r>
      <w:r>
        <w:t>7</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"_Toc464978327" </w:instrText>
      </w:r>
      <w:r>
        <w:fldChar w:fldCharType="separate"/>
      </w:r>
      <w:r>
        <w:rPr>
          <w:rStyle w:val="13"/>
        </w:rPr>
        <w:t>7.1</w:t>
      </w:r>
      <w:r>
        <w:rPr>
          <w:rStyle w:val="13"/>
          <w:rFonts w:hint="eastAsia"/>
        </w:rPr>
        <w:t>县级农村物流中心</w:t>
      </w:r>
      <w:r>
        <w:tab/>
      </w:r>
      <w:r>
        <w:fldChar w:fldCharType="begin"/>
      </w:r>
      <w:r>
        <w:instrText xml:space="preserve"> PAGEREF _Toc464978327 \h </w:instrText>
      </w:r>
      <w:r>
        <w:fldChar w:fldCharType="separate"/>
      </w:r>
      <w:r>
        <w:t>7</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"_Toc464978328" </w:instrText>
      </w:r>
      <w:r>
        <w:fldChar w:fldCharType="separate"/>
      </w:r>
      <w:r>
        <w:rPr>
          <w:rStyle w:val="13"/>
        </w:rPr>
        <w:t>7.2</w:t>
      </w:r>
      <w:r>
        <w:rPr>
          <w:rStyle w:val="13"/>
          <w:rFonts w:hint="eastAsia"/>
        </w:rPr>
        <w:t>乡镇农村物流服务站</w:t>
      </w:r>
      <w:r>
        <w:tab/>
      </w:r>
      <w:r>
        <w:fldChar w:fldCharType="begin"/>
      </w:r>
      <w:r>
        <w:instrText xml:space="preserve"> PAGEREF _Toc464978328 \h </w:instrText>
      </w:r>
      <w:r>
        <w:fldChar w:fldCharType="separate"/>
      </w:r>
      <w:r>
        <w:t>8</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"_Toc464978329" </w:instrText>
      </w:r>
      <w:r>
        <w:fldChar w:fldCharType="separate"/>
      </w:r>
      <w:r>
        <w:rPr>
          <w:rStyle w:val="13"/>
        </w:rPr>
        <w:t>7.3</w:t>
      </w:r>
      <w:r>
        <w:rPr>
          <w:rStyle w:val="13"/>
          <w:rFonts w:hint="eastAsia"/>
        </w:rPr>
        <w:t>村级农村物流服务点</w:t>
      </w:r>
      <w:r>
        <w:tab/>
      </w:r>
      <w:r>
        <w:fldChar w:fldCharType="begin"/>
      </w:r>
      <w:r>
        <w:instrText xml:space="preserve"> PAGEREF _Toc464978329 \h </w:instrText>
      </w:r>
      <w:r>
        <w:fldChar w:fldCharType="separate"/>
      </w:r>
      <w:r>
        <w:t>8</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"_Toc464978330" </w:instrText>
      </w:r>
      <w:r>
        <w:fldChar w:fldCharType="separate"/>
      </w:r>
      <w:r>
        <w:rPr>
          <w:rStyle w:val="13"/>
        </w:rPr>
        <w:t>8</w:t>
      </w:r>
      <w:r>
        <w:rPr>
          <w:rStyle w:val="13"/>
          <w:rFonts w:hint="eastAsia"/>
        </w:rPr>
        <w:t>信息化建设</w:t>
      </w:r>
      <w:r>
        <w:tab/>
      </w:r>
      <w:r>
        <w:fldChar w:fldCharType="begin"/>
      </w:r>
      <w:r>
        <w:instrText xml:space="preserve"> PAGEREF _Toc464978330 \h </w:instrText>
      </w:r>
      <w:r>
        <w:fldChar w:fldCharType="separate"/>
      </w:r>
      <w:r>
        <w:t>8</w:t>
      </w:r>
      <w:r>
        <w:fldChar w:fldCharType="end"/>
      </w:r>
      <w:r>
        <w:fldChar w:fldCharType="end"/>
      </w:r>
    </w:p>
    <w:p>
      <w:pPr>
        <w:pStyle w:val="10"/>
        <w:rPr>
          <w:rFonts w:asciiTheme="minorHAnsi" w:hAnsiTheme="minorHAnsi" w:eastAsiaTheme="minorEastAsia"/>
          <w:kern w:val="2"/>
          <w:sz w:val="21"/>
        </w:rPr>
      </w:pPr>
      <w:r>
        <w:fldChar w:fldCharType="begin"/>
      </w:r>
      <w:r>
        <w:instrText xml:space="preserve"> HYPERLINK \l "_Toc464978331" </w:instrText>
      </w:r>
      <w:r>
        <w:fldChar w:fldCharType="separate"/>
      </w:r>
      <w:r>
        <w:rPr>
          <w:rStyle w:val="13"/>
        </w:rPr>
        <w:t>9</w:t>
      </w:r>
      <w:r>
        <w:rPr>
          <w:rStyle w:val="13"/>
          <w:rFonts w:hint="eastAsia"/>
        </w:rPr>
        <w:t>运营管理</w:t>
      </w:r>
      <w:r>
        <w:tab/>
      </w:r>
      <w:r>
        <w:fldChar w:fldCharType="begin"/>
      </w:r>
      <w:r>
        <w:instrText xml:space="preserve"> PAGEREF _Toc464978331 \h </w:instrText>
      </w:r>
      <w:r>
        <w:fldChar w:fldCharType="separate"/>
      </w:r>
      <w:r>
        <w:t>9</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"_Toc464978332" </w:instrText>
      </w:r>
      <w:r>
        <w:fldChar w:fldCharType="separate"/>
      </w:r>
      <w:r>
        <w:rPr>
          <w:rStyle w:val="13"/>
        </w:rPr>
        <w:t>9.1</w:t>
      </w:r>
      <w:r>
        <w:rPr>
          <w:rStyle w:val="13"/>
          <w:rFonts w:hint="eastAsia"/>
        </w:rPr>
        <w:t>运营管理模式</w:t>
      </w:r>
      <w:r>
        <w:tab/>
      </w:r>
      <w:r>
        <w:fldChar w:fldCharType="begin"/>
      </w:r>
      <w:r>
        <w:instrText xml:space="preserve"> PAGEREF _Toc464978332 \h </w:instrText>
      </w:r>
      <w:r>
        <w:fldChar w:fldCharType="separate"/>
      </w:r>
      <w:r>
        <w:t>9</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"_Toc464978333" </w:instrText>
      </w:r>
      <w:r>
        <w:fldChar w:fldCharType="separate"/>
      </w:r>
      <w:r>
        <w:rPr>
          <w:rStyle w:val="13"/>
        </w:rPr>
        <w:t>9.2</w:t>
      </w:r>
      <w:r>
        <w:rPr>
          <w:rStyle w:val="13"/>
          <w:rFonts w:hint="eastAsia"/>
        </w:rPr>
        <w:t>安全运营要求</w:t>
      </w:r>
      <w:r>
        <w:tab/>
      </w:r>
      <w:r>
        <w:fldChar w:fldCharType="begin"/>
      </w:r>
      <w:r>
        <w:instrText xml:space="preserve"> PAGEREF _Toc464978333 \h </w:instrText>
      </w:r>
      <w:r>
        <w:fldChar w:fldCharType="separate"/>
      </w:r>
      <w:r>
        <w:t>9</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"_Toc464978334" </w:instrText>
      </w:r>
      <w:r>
        <w:fldChar w:fldCharType="separate"/>
      </w:r>
      <w:r>
        <w:rPr>
          <w:rStyle w:val="13"/>
        </w:rPr>
        <w:t>9.3</w:t>
      </w:r>
      <w:r>
        <w:rPr>
          <w:rStyle w:val="13"/>
          <w:rFonts w:hint="eastAsia"/>
        </w:rPr>
        <w:t>运营服务要求</w:t>
      </w:r>
      <w:r>
        <w:tab/>
      </w:r>
      <w:r>
        <w:fldChar w:fldCharType="begin"/>
      </w:r>
      <w:r>
        <w:instrText xml:space="preserve"> PAGEREF _Toc464978334 \h </w:instrText>
      </w:r>
      <w:r>
        <w:fldChar w:fldCharType="separate"/>
      </w:r>
      <w:r>
        <w:t>9</w:t>
      </w:r>
      <w:r>
        <w:fldChar w:fldCharType="end"/>
      </w:r>
      <w:r>
        <w:fldChar w:fldCharType="end"/>
      </w:r>
    </w:p>
    <w:p>
      <w:pPr>
        <w:pStyle w:val="10"/>
        <w:ind w:firstLine="220" w:firstLineChars="100"/>
        <w:rPr>
          <w:rFonts w:asciiTheme="minorHAnsi" w:hAnsiTheme="minorHAnsi" w:eastAsiaTheme="minorEastAsia"/>
          <w:kern w:val="2"/>
          <w:sz w:val="21"/>
        </w:rPr>
      </w:pPr>
      <w:r>
        <w:fldChar w:fldCharType="begin"/>
      </w:r>
      <w:r>
        <w:instrText xml:space="preserve"> HYPERLINK \l "_Toc464978335" </w:instrText>
      </w:r>
      <w:r>
        <w:fldChar w:fldCharType="separate"/>
      </w:r>
      <w:r>
        <w:rPr>
          <w:rStyle w:val="13"/>
        </w:rPr>
        <w:t>9.4</w:t>
      </w:r>
      <w:r>
        <w:rPr>
          <w:rStyle w:val="13"/>
          <w:rFonts w:hint="eastAsia"/>
        </w:rPr>
        <w:t>品牌建设</w:t>
      </w:r>
      <w:r>
        <w:tab/>
      </w:r>
      <w:r>
        <w:fldChar w:fldCharType="begin"/>
      </w:r>
      <w:r>
        <w:instrText xml:space="preserve"> PAGEREF _Toc464978335 \h </w:instrText>
      </w:r>
      <w:r>
        <w:fldChar w:fldCharType="separate"/>
      </w:r>
      <w:r>
        <w:t>10</w:t>
      </w:r>
      <w:r>
        <w:fldChar w:fldCharType="end"/>
      </w:r>
      <w:r>
        <w:fldChar w:fldCharType="end"/>
      </w:r>
    </w:p>
    <w:p>
      <w:pPr>
        <w:spacing w:line="360" w:lineRule="auto"/>
        <w:rPr>
          <w:rFonts w:eastAsia="黑体"/>
          <w:sz w:val="36"/>
          <w:szCs w:val="36"/>
        </w:rPr>
      </w:pPr>
      <w:r>
        <w:rPr>
          <w:sz w:val="24"/>
          <w:szCs w:val="24"/>
        </w:rPr>
        <w:fldChar w:fldCharType="end"/>
      </w:r>
    </w:p>
    <w:p>
      <w:pPr>
        <w:rPr>
          <w:rFonts w:eastAsia="黑体"/>
          <w:sz w:val="36"/>
          <w:szCs w:val="36"/>
        </w:rPr>
        <w:sectPr>
          <w:footerReference r:id="rId7" w:type="first"/>
          <w:headerReference r:id="rId5" w:type="default"/>
          <w:footerReference r:id="rId6" w:type="default"/>
          <w:pgSz w:w="11906" w:h="16838"/>
          <w:pgMar w:top="1440" w:right="1797" w:bottom="1440" w:left="1797" w:header="851" w:footer="992" w:gutter="0"/>
          <w:pgNumType w:fmt="numberInDash" w:start="1"/>
          <w:cols w:space="425" w:num="1"/>
          <w:docGrid w:linePitch="312" w:charSpace="0"/>
        </w:sectPr>
      </w:pPr>
    </w:p>
    <w:p>
      <w:pPr>
        <w:pStyle w:val="2"/>
        <w:spacing w:before="0" w:after="0"/>
        <w:rPr>
          <w:rFonts w:ascii="黑体" w:hAnsi="黑体"/>
          <w:b w:val="0"/>
          <w:sz w:val="28"/>
          <w:szCs w:val="28"/>
        </w:rPr>
      </w:pPr>
      <w:bookmarkStart w:id="0" w:name="_Toc464978301"/>
      <w:r>
        <w:rPr>
          <w:rFonts w:hint="eastAsia" w:ascii="黑体" w:hAnsi="黑体"/>
          <w:b w:val="0"/>
          <w:sz w:val="28"/>
          <w:szCs w:val="28"/>
        </w:rPr>
        <w:t>前  言</w:t>
      </w:r>
      <w:bookmarkEnd w:id="0"/>
    </w:p>
    <w:p>
      <w:pPr>
        <w:spacing w:line="360" w:lineRule="auto"/>
        <w:ind w:firstLine="549" w:firstLineChars="196"/>
        <w:rPr>
          <w:rFonts w:ascii="仿宋_GB2312" w:eastAsia="仿宋_GB2312"/>
          <w:sz w:val="28"/>
          <w:szCs w:val="28"/>
        </w:rPr>
      </w:pPr>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网络节点体系是支撑农村物流发展重要的基础设施，也是农村地区基本公共服务的重要组成部分，对于促进城乡物资双向便捷流通、保障和改善民生、服务农业现代化具有重要作用。当前我国农村物流网络节点体系发展基础薄弱，网络体系不健全，站场设施简陋，服务功能不完善，已经成为制约我国农村物流发展的短板。为贯彻中央1号文件、国务院《物流业发展中长期规划（2014—2020年）》的有关要求，落实《交通运输部 农业部 供销合作总社 国家邮政局关于协同推进农村物流健康发展 加快服务农业现代化的若干意见》（交运发</w:t>
      </w:r>
      <w:r>
        <w:rPr>
          <w:rFonts w:ascii="仿宋_GB2312" w:eastAsia="仿宋_GB2312"/>
          <w:sz w:val="28"/>
          <w:szCs w:val="28"/>
        </w:rPr>
        <w:t>〔</w:t>
      </w:r>
      <w:r>
        <w:rPr>
          <w:rFonts w:hint="eastAsia" w:ascii="仿宋_GB2312" w:eastAsia="仿宋_GB2312"/>
          <w:sz w:val="28"/>
          <w:szCs w:val="28"/>
        </w:rPr>
        <w:t>2015〕25号）的工作部署，指导全国有序推进农村物流网络节点体系建设，促进节点体系“建设标准化、管理规范化、服务多元化”，全面提升农村物流服务水平，我部组织编制了《农村物流网络节点体系建设指南》（以下简称《指南》）。</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指南》针对农村物流三级网络节点体系的“规划选址、功能布局、设施配备、信息化建设、运营管理”等各个环节提出了规范要求。在编制过程中，《指南》坚持了以下原则：一是坚持因地制宜。《指南》侧重于对全国农村物流网络节点建设提出原则性和方向性的指导建议，各地需结合本地发展实际进行细化；二是坚持资源整合。在站场布局选点中，《指南》优先考虑利用现有乡镇客运站、乡邮所、农资站、农家店等既有资源，升级拓展物流服务功能，强调客运、货运、邮政、快递等资源的整合；三是坚持需求导向。《指南》突出了农村物流站点的运营管理，提出要坚持市场化运营和多方合作，提高站场利用效率，促进站场的可持续发展。《指南》在编制过程中，与我部印发的《</w:t>
      </w:r>
      <w:r>
        <w:rPr>
          <w:rFonts w:ascii="仿宋_GB2312" w:eastAsia="仿宋_GB2312"/>
          <w:sz w:val="28"/>
          <w:szCs w:val="28"/>
        </w:rPr>
        <w:t>综合运输服务</w:t>
      </w:r>
      <w:r>
        <w:rPr>
          <w:rFonts w:hint="eastAsia" w:ascii="仿宋_GB2312" w:eastAsia="仿宋_GB2312"/>
          <w:sz w:val="28"/>
          <w:szCs w:val="28"/>
        </w:rPr>
        <w:t>“</w:t>
      </w:r>
      <w:r>
        <w:rPr>
          <w:rFonts w:ascii="仿宋_GB2312" w:eastAsia="仿宋_GB2312"/>
          <w:sz w:val="28"/>
          <w:szCs w:val="28"/>
        </w:rPr>
        <w:t>十三五</w:t>
      </w:r>
      <w:r>
        <w:rPr>
          <w:rFonts w:hint="eastAsia" w:ascii="仿宋_GB2312" w:eastAsia="仿宋_GB2312"/>
          <w:sz w:val="28"/>
          <w:szCs w:val="28"/>
        </w:rPr>
        <w:t>”</w:t>
      </w:r>
      <w:r>
        <w:rPr>
          <w:rFonts w:ascii="仿宋_GB2312" w:eastAsia="仿宋_GB2312"/>
          <w:sz w:val="28"/>
          <w:szCs w:val="28"/>
        </w:rPr>
        <w:t>发展规划</w:t>
      </w:r>
      <w:r>
        <w:rPr>
          <w:rFonts w:hint="eastAsia" w:ascii="仿宋_GB2312" w:eastAsia="仿宋_GB2312"/>
          <w:sz w:val="28"/>
          <w:szCs w:val="28"/>
        </w:rPr>
        <w:t>》《“十三五”交通扶贫规划》进行了有效衔接，借鉴参考了《汽车货运站（场）级别划分和建设要求》（JT/T402-1999），以及湖北、山东、河南等省推进农村物流节点体系建设的相关标准规范。各地交通运输主管部门应按照《指南》的相关要求，从自身实际出发，加快构建起适合本地发展需要，层次清晰、覆盖全面、布局合理、功能适当、信息互联、运转高效的农村物流网络节点体系，全面提升农村物流服务水平，为更好地促进城乡一体化发展，服务农业现代化提供有力支撑。</w:t>
      </w:r>
    </w:p>
    <w:p>
      <w:pPr>
        <w:ind w:firstLine="560" w:firstLineChars="200"/>
        <w:rPr>
          <w:sz w:val="28"/>
          <w:szCs w:val="28"/>
        </w:rPr>
        <w:sectPr>
          <w:headerReference r:id="rId8" w:type="default"/>
          <w:pgSz w:w="11906" w:h="16838"/>
          <w:pgMar w:top="1440" w:right="1797" w:bottom="1440" w:left="1797" w:header="851" w:footer="992" w:gutter="0"/>
          <w:pgNumType w:start="1"/>
          <w:cols w:space="425" w:num="1"/>
          <w:docGrid w:linePitch="312" w:charSpace="0"/>
        </w:sectPr>
      </w:pPr>
    </w:p>
    <w:p>
      <w:pPr>
        <w:pStyle w:val="2"/>
        <w:spacing w:before="0" w:after="0"/>
        <w:jc w:val="left"/>
        <w:rPr>
          <w:rFonts w:ascii="黑体" w:hAnsi="黑体"/>
          <w:b w:val="0"/>
          <w:sz w:val="28"/>
          <w:szCs w:val="28"/>
        </w:rPr>
      </w:pPr>
      <w:bookmarkStart w:id="1" w:name="_Toc464978302"/>
      <w:bookmarkStart w:id="2" w:name="_Toc457465580"/>
      <w:r>
        <w:rPr>
          <w:rFonts w:hint="eastAsia" w:ascii="黑体" w:hAnsi="黑体"/>
          <w:b w:val="0"/>
          <w:sz w:val="28"/>
          <w:szCs w:val="28"/>
        </w:rPr>
        <w:t>1范围</w:t>
      </w:r>
      <w:bookmarkEnd w:id="1"/>
      <w:bookmarkEnd w:id="2"/>
    </w:p>
    <w:p>
      <w:pPr>
        <w:spacing w:line="360" w:lineRule="auto"/>
        <w:ind w:firstLine="549" w:firstLineChars="196"/>
        <w:rPr>
          <w:rFonts w:ascii="仿宋_GB2312" w:eastAsia="仿宋_GB2312"/>
          <w:sz w:val="28"/>
          <w:szCs w:val="28"/>
        </w:rPr>
      </w:pPr>
      <w:r>
        <w:rPr>
          <w:rFonts w:hint="eastAsia" w:ascii="仿宋_GB2312" w:eastAsia="仿宋_GB2312"/>
          <w:sz w:val="28"/>
          <w:szCs w:val="28"/>
        </w:rPr>
        <w:t>本指南涵盖了农村物流网络节点体系的定义、功能定位、规划原则和思路、节点选址、功能和布局、设施设备配备、信息化建设和运营管理等内容，适用于全国农村物流网络节点体系的规划、建设（改造）和运营管理。</w:t>
      </w:r>
    </w:p>
    <w:p>
      <w:pPr>
        <w:pStyle w:val="2"/>
        <w:spacing w:before="0" w:after="0"/>
        <w:jc w:val="left"/>
        <w:rPr>
          <w:rFonts w:ascii="黑体" w:hAnsi="黑体"/>
          <w:b w:val="0"/>
          <w:sz w:val="28"/>
          <w:szCs w:val="28"/>
        </w:rPr>
      </w:pPr>
      <w:bookmarkStart w:id="3" w:name="_Toc464978303"/>
      <w:bookmarkStart w:id="4" w:name="_Toc457465581"/>
      <w:r>
        <w:rPr>
          <w:rFonts w:hint="eastAsia" w:ascii="黑体" w:hAnsi="黑体"/>
          <w:b w:val="0"/>
          <w:sz w:val="28"/>
          <w:szCs w:val="28"/>
        </w:rPr>
        <w:t>2定义</w:t>
      </w:r>
      <w:bookmarkEnd w:id="3"/>
      <w:bookmarkEnd w:id="4"/>
    </w:p>
    <w:p>
      <w:pPr>
        <w:spacing w:line="360" w:lineRule="auto"/>
        <w:ind w:firstLine="549" w:firstLineChars="196"/>
        <w:rPr>
          <w:rFonts w:ascii="仿宋_GB2312" w:eastAsia="仿宋_GB2312"/>
          <w:sz w:val="28"/>
          <w:szCs w:val="28"/>
        </w:rPr>
      </w:pPr>
      <w:r>
        <w:rPr>
          <w:rFonts w:hint="eastAsia" w:ascii="仿宋_GB2312" w:eastAsia="仿宋_GB2312"/>
          <w:sz w:val="28"/>
          <w:szCs w:val="28"/>
        </w:rPr>
        <w:t>本指南采用下列定义：</w:t>
      </w:r>
    </w:p>
    <w:p>
      <w:pPr>
        <w:pStyle w:val="2"/>
        <w:spacing w:before="0" w:after="0"/>
        <w:jc w:val="left"/>
        <w:rPr>
          <w:rFonts w:ascii="黑体" w:hAnsi="黑体"/>
          <w:b w:val="0"/>
          <w:sz w:val="28"/>
          <w:szCs w:val="28"/>
        </w:rPr>
      </w:pPr>
      <w:bookmarkStart w:id="5" w:name="_Toc464978304"/>
      <w:bookmarkStart w:id="6" w:name="_Toc457465582"/>
      <w:r>
        <w:rPr>
          <w:rFonts w:hint="eastAsia" w:ascii="黑体" w:hAnsi="黑体"/>
          <w:b w:val="0"/>
          <w:sz w:val="28"/>
          <w:szCs w:val="28"/>
        </w:rPr>
        <w:t>2.1农村物流</w:t>
      </w:r>
      <w:bookmarkEnd w:id="5"/>
      <w:bookmarkEnd w:id="6"/>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是一个相对于城市物流的概念，它是指在农村地区,为生产、销售及农村居民生活和其他经济活动所提供的运输、存储、装卸、搬运、包装、流通加工、配送、信息处理等物流活动的总称。本《指南》中的农村物流主要指由第三方物流企业为农村地区农副产品进城，农资和农村消费品下乡，以及农村电商、乡镇企业等生产经营活动提供的物流服务。</w:t>
      </w:r>
    </w:p>
    <w:p>
      <w:pPr>
        <w:pStyle w:val="2"/>
        <w:spacing w:before="0" w:after="0"/>
        <w:jc w:val="left"/>
        <w:rPr>
          <w:rFonts w:ascii="黑体" w:hAnsi="黑体"/>
          <w:b w:val="0"/>
          <w:sz w:val="28"/>
          <w:szCs w:val="28"/>
        </w:rPr>
      </w:pPr>
      <w:bookmarkStart w:id="7" w:name="_Toc464978305"/>
      <w:bookmarkStart w:id="8" w:name="_Toc457465583"/>
      <w:r>
        <w:rPr>
          <w:rFonts w:hint="eastAsia" w:ascii="黑体" w:hAnsi="黑体"/>
          <w:b w:val="0"/>
          <w:sz w:val="28"/>
          <w:szCs w:val="28"/>
        </w:rPr>
        <w:t>2.2农村物流网络节点体系</w:t>
      </w:r>
      <w:bookmarkEnd w:id="7"/>
      <w:bookmarkEnd w:id="8"/>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网络节点体系是支撑农村物流发展和保障农村地区基本公共服务的重要基础设施。农村物流网络节点体系包括县级农村物流中心、乡镇农村物流服务站（或乡镇客运综合服务站）和村级农村物流服务点三个层级。</w:t>
      </w:r>
    </w:p>
    <w:p>
      <w:pPr>
        <w:pStyle w:val="2"/>
        <w:spacing w:before="0" w:after="0"/>
        <w:jc w:val="left"/>
        <w:rPr>
          <w:rFonts w:ascii="黑体" w:hAnsi="黑体"/>
          <w:b w:val="0"/>
          <w:sz w:val="28"/>
          <w:szCs w:val="28"/>
        </w:rPr>
      </w:pPr>
      <w:bookmarkStart w:id="9" w:name="_Toc464978306"/>
      <w:bookmarkStart w:id="10" w:name="_Toc457465584"/>
      <w:r>
        <w:rPr>
          <w:rFonts w:hint="eastAsia" w:ascii="黑体" w:hAnsi="黑体"/>
          <w:b w:val="0"/>
          <w:sz w:val="28"/>
          <w:szCs w:val="28"/>
        </w:rPr>
        <w:t>3节点体系功能定位</w:t>
      </w:r>
      <w:bookmarkEnd w:id="9"/>
      <w:bookmarkEnd w:id="10"/>
    </w:p>
    <w:p>
      <w:pPr>
        <w:pStyle w:val="2"/>
        <w:spacing w:before="0" w:after="0"/>
        <w:jc w:val="left"/>
        <w:rPr>
          <w:rFonts w:ascii="黑体" w:hAnsi="黑体"/>
          <w:b w:val="0"/>
          <w:sz w:val="28"/>
          <w:szCs w:val="28"/>
        </w:rPr>
      </w:pPr>
      <w:bookmarkStart w:id="11" w:name="_Toc464978307"/>
      <w:bookmarkStart w:id="12" w:name="_Toc457465585"/>
      <w:r>
        <w:rPr>
          <w:rFonts w:hint="eastAsia" w:ascii="黑体" w:hAnsi="黑体"/>
          <w:b w:val="0"/>
          <w:sz w:val="28"/>
          <w:szCs w:val="28"/>
        </w:rPr>
        <w:t>3.1系统功能定位</w:t>
      </w:r>
      <w:bookmarkEnd w:id="11"/>
      <w:bookmarkEnd w:id="12"/>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农村物流网络节点体系是农村地区重要的公共服务设施，具有较强的公益性，对于保障城乡物资双向顺畅流动，提升农村基本公共服务水平具有重要作用。</w:t>
      </w:r>
    </w:p>
    <w:p>
      <w:pPr>
        <w:pStyle w:val="2"/>
        <w:spacing w:before="0" w:after="0"/>
        <w:jc w:val="left"/>
        <w:rPr>
          <w:rFonts w:ascii="黑体" w:hAnsi="黑体"/>
          <w:b w:val="0"/>
          <w:sz w:val="28"/>
          <w:szCs w:val="28"/>
        </w:rPr>
      </w:pPr>
      <w:bookmarkStart w:id="13" w:name="_Toc464978308"/>
      <w:bookmarkStart w:id="14" w:name="_Toc457465586"/>
      <w:r>
        <w:rPr>
          <w:rFonts w:hint="eastAsia" w:ascii="黑体" w:hAnsi="黑体"/>
          <w:b w:val="0"/>
          <w:sz w:val="28"/>
          <w:szCs w:val="28"/>
        </w:rPr>
        <w:t>3.2县级农村物流中心功能定位</w:t>
      </w:r>
      <w:bookmarkEnd w:id="13"/>
      <w:bookmarkEnd w:id="14"/>
    </w:p>
    <w:p>
      <w:pPr>
        <w:spacing w:line="360" w:lineRule="auto"/>
        <w:ind w:firstLine="549" w:firstLineChars="196"/>
        <w:rPr>
          <w:rFonts w:ascii="仿宋_GB2312" w:eastAsia="仿宋_GB2312"/>
          <w:sz w:val="28"/>
          <w:szCs w:val="28"/>
        </w:rPr>
      </w:pPr>
      <w:r>
        <w:rPr>
          <w:rFonts w:hint="eastAsia" w:ascii="仿宋_GB2312" w:eastAsia="仿宋_GB2312"/>
          <w:sz w:val="28"/>
          <w:szCs w:val="28"/>
        </w:rPr>
        <w:t>县级农村物流中心处于农村物流网络节点体系的最高层次，是县域与外部区域之间物流交换的枢纽节点，也是县域范围内物资集聚和物流组织的中心。</w:t>
      </w:r>
    </w:p>
    <w:p>
      <w:pPr>
        <w:pStyle w:val="2"/>
        <w:spacing w:before="0" w:after="0"/>
        <w:jc w:val="left"/>
        <w:rPr>
          <w:rFonts w:ascii="黑体" w:hAnsi="黑体"/>
          <w:b w:val="0"/>
          <w:sz w:val="28"/>
          <w:szCs w:val="28"/>
        </w:rPr>
      </w:pPr>
      <w:bookmarkStart w:id="15" w:name="_Toc457465587"/>
      <w:bookmarkStart w:id="16" w:name="_Toc464978309"/>
      <w:r>
        <w:rPr>
          <w:rFonts w:hint="eastAsia" w:ascii="黑体" w:hAnsi="黑体"/>
          <w:b w:val="0"/>
          <w:sz w:val="28"/>
          <w:szCs w:val="28"/>
        </w:rPr>
        <w:t>3.3乡镇农村物流服务站功能定位</w:t>
      </w:r>
      <w:bookmarkEnd w:id="15"/>
      <w:bookmarkEnd w:id="16"/>
    </w:p>
    <w:p>
      <w:pPr>
        <w:spacing w:line="360" w:lineRule="auto"/>
        <w:ind w:firstLine="549" w:firstLineChars="196"/>
        <w:rPr>
          <w:rFonts w:ascii="仿宋_GB2312" w:eastAsia="仿宋_GB2312"/>
          <w:sz w:val="28"/>
          <w:szCs w:val="28"/>
        </w:rPr>
      </w:pPr>
      <w:r>
        <w:rPr>
          <w:rFonts w:hint="eastAsia" w:ascii="仿宋_GB2312" w:eastAsia="仿宋_GB2312"/>
          <w:sz w:val="28"/>
          <w:szCs w:val="28"/>
        </w:rPr>
        <w:t>乡镇农村物流服务站是农村物流网络节点体系中上接县、下联村的中间层节点，承担区域内物流组织与管理，支撑农村物流各类物资的中转仓储和分拨配送。</w:t>
      </w:r>
    </w:p>
    <w:p>
      <w:pPr>
        <w:pStyle w:val="2"/>
        <w:spacing w:before="0" w:after="0"/>
        <w:jc w:val="left"/>
        <w:rPr>
          <w:rFonts w:ascii="黑体" w:hAnsi="黑体"/>
          <w:b w:val="0"/>
          <w:sz w:val="28"/>
          <w:szCs w:val="28"/>
        </w:rPr>
      </w:pPr>
      <w:bookmarkStart w:id="17" w:name="_Toc464978310"/>
      <w:bookmarkStart w:id="18" w:name="_Toc457465588"/>
      <w:r>
        <w:rPr>
          <w:rFonts w:hint="eastAsia" w:ascii="黑体" w:hAnsi="黑体"/>
          <w:b w:val="0"/>
          <w:sz w:val="28"/>
          <w:szCs w:val="28"/>
        </w:rPr>
        <w:t>3.4村级农村物流服务点功能定位</w:t>
      </w:r>
      <w:bookmarkEnd w:id="17"/>
      <w:bookmarkEnd w:id="18"/>
    </w:p>
    <w:p>
      <w:pPr>
        <w:spacing w:line="360" w:lineRule="auto"/>
        <w:ind w:firstLine="549" w:firstLineChars="196"/>
        <w:rPr>
          <w:rFonts w:ascii="仿宋_GB2312" w:eastAsia="仿宋_GB2312"/>
          <w:sz w:val="28"/>
          <w:szCs w:val="28"/>
        </w:rPr>
      </w:pPr>
      <w:r>
        <w:rPr>
          <w:rFonts w:hint="eastAsia" w:ascii="仿宋_GB2312" w:eastAsia="仿宋_GB2312"/>
          <w:sz w:val="28"/>
          <w:szCs w:val="28"/>
        </w:rPr>
        <w:t>村级农村物流服务点是农村物流网络节点体系中的基层网点，处于节点体系的末端，实现农村物流各类物资“最初一公里”和“最后一公里”有序集散和高效配送，以及电商、快递等各类物流信息的及时采集和发布。</w:t>
      </w:r>
    </w:p>
    <w:p>
      <w:pPr>
        <w:pStyle w:val="2"/>
        <w:spacing w:before="0" w:after="0"/>
        <w:jc w:val="left"/>
        <w:rPr>
          <w:rFonts w:ascii="黑体" w:hAnsi="黑体"/>
          <w:b w:val="0"/>
          <w:sz w:val="28"/>
          <w:szCs w:val="28"/>
        </w:rPr>
      </w:pPr>
      <w:bookmarkStart w:id="19" w:name="_Toc464978311"/>
      <w:bookmarkStart w:id="20" w:name="_Toc457465589"/>
      <w:r>
        <w:rPr>
          <w:rFonts w:hint="eastAsia" w:ascii="黑体" w:hAnsi="黑体"/>
          <w:b w:val="0"/>
          <w:sz w:val="28"/>
          <w:szCs w:val="28"/>
        </w:rPr>
        <w:t>4</w:t>
      </w:r>
      <w:r>
        <w:rPr>
          <w:rFonts w:ascii="黑体" w:hAnsi="黑体"/>
          <w:b w:val="0"/>
          <w:sz w:val="28"/>
          <w:szCs w:val="28"/>
        </w:rPr>
        <w:t>规划</w:t>
      </w:r>
      <w:r>
        <w:rPr>
          <w:rFonts w:hint="eastAsia" w:ascii="黑体" w:hAnsi="黑体"/>
          <w:b w:val="0"/>
          <w:sz w:val="28"/>
          <w:szCs w:val="28"/>
        </w:rPr>
        <w:t>建设原则</w:t>
      </w:r>
      <w:bookmarkEnd w:id="19"/>
      <w:bookmarkEnd w:id="20"/>
    </w:p>
    <w:p>
      <w:pPr>
        <w:spacing w:line="360" w:lineRule="auto"/>
        <w:ind w:firstLine="549" w:firstLineChars="196"/>
        <w:rPr>
          <w:rFonts w:ascii="仿宋_GB2312" w:eastAsia="仿宋_GB2312"/>
          <w:sz w:val="28"/>
          <w:szCs w:val="28"/>
        </w:rPr>
      </w:pPr>
      <w:r>
        <w:rPr>
          <w:rFonts w:hint="eastAsia" w:ascii="仿宋_GB2312" w:eastAsia="仿宋_GB2312"/>
          <w:sz w:val="28"/>
          <w:szCs w:val="28"/>
        </w:rPr>
        <w:t>——资源整合原则。按照“资源共享、多站合一、功能集中、节约高效”的要求，加快促进交通、邮政、农业、供销、商务等部门现有节点资源衔接共享，合理规划布局向全社会开放的公共物流网络节点体系。</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因地制宜原则。要注重地区之间的差异，坚持需求导向、立足实际，在基本物流服务功能的基础上，结合当地资源禀赋、自然条件、产业特点，围绕农村物流发展的实际需求，规划建设各具特色、模式多样的节点体系，适应并有效支撑当地农村物流的快速发展。</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城乡一体原则。统筹城乡物流发展和规划，加强与物流园区（货运枢纽）、全国重点农产品、农资、农村消费品集散中心（基地）、邮件和快件处理中心等的有效衔接，实现农村物流网络节点体系与全国干线物流网络的全面融合。</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统一布局原则。要全面分析农村物流发展现状、需求特征和发展趋势，综合考虑县乡村行政区划结构形态和面积、产业布局、人口分布、对外交通、货物流向、现有节点资源等因素，统筹确定农村物流网络节点布局的数量、类型、规模和功能。</w:t>
      </w:r>
    </w:p>
    <w:p>
      <w:pPr>
        <w:pStyle w:val="2"/>
        <w:spacing w:before="0" w:after="0"/>
        <w:jc w:val="left"/>
        <w:rPr>
          <w:rFonts w:ascii="黑体" w:hAnsi="黑体"/>
          <w:b w:val="0"/>
          <w:sz w:val="28"/>
          <w:szCs w:val="28"/>
        </w:rPr>
      </w:pPr>
      <w:bookmarkStart w:id="21" w:name="_Toc457465592"/>
      <w:bookmarkStart w:id="22" w:name="_Toc464978312"/>
      <w:r>
        <w:rPr>
          <w:rFonts w:hint="eastAsia" w:ascii="黑体" w:hAnsi="黑体"/>
          <w:b w:val="0"/>
          <w:sz w:val="28"/>
          <w:szCs w:val="28"/>
        </w:rPr>
        <w:t>5节点选址</w:t>
      </w:r>
      <w:bookmarkEnd w:id="21"/>
      <w:bookmarkEnd w:id="22"/>
    </w:p>
    <w:p>
      <w:pPr>
        <w:pStyle w:val="2"/>
        <w:spacing w:before="0" w:after="0"/>
        <w:jc w:val="left"/>
        <w:rPr>
          <w:rFonts w:ascii="黑体" w:hAnsi="黑体"/>
          <w:b w:val="0"/>
          <w:sz w:val="28"/>
          <w:szCs w:val="28"/>
        </w:rPr>
      </w:pPr>
      <w:bookmarkStart w:id="23" w:name="_Toc464978313"/>
      <w:bookmarkStart w:id="24" w:name="_Toc457465593"/>
      <w:r>
        <w:rPr>
          <w:rFonts w:hint="eastAsia" w:ascii="黑体" w:hAnsi="黑体"/>
          <w:b w:val="0"/>
          <w:sz w:val="28"/>
          <w:szCs w:val="28"/>
        </w:rPr>
        <w:t>5.1县级农村物流中心</w:t>
      </w:r>
      <w:bookmarkEnd w:id="23"/>
      <w:bookmarkEnd w:id="24"/>
    </w:p>
    <w:p>
      <w:pPr>
        <w:spacing w:line="360" w:lineRule="auto"/>
        <w:ind w:firstLine="549" w:firstLineChars="196"/>
        <w:rPr>
          <w:rFonts w:ascii="仿宋_GB2312" w:eastAsia="仿宋_GB2312"/>
          <w:sz w:val="28"/>
          <w:szCs w:val="28"/>
        </w:rPr>
      </w:pPr>
      <w:r>
        <w:rPr>
          <w:rFonts w:hint="eastAsia" w:ascii="仿宋_GB2312" w:eastAsia="仿宋_GB2312"/>
          <w:sz w:val="28"/>
          <w:szCs w:val="28"/>
        </w:rPr>
        <w:t>——符合城镇总体布局规划。</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——交通便利，并与综合运输网合理衔接。</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——靠近较大货源点。</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——优先考虑利用或升级改造现有各类站场资源。</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——具备良好的给排水、电力、道路、通讯等条件。</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——具备良好的地质条件。</w:t>
      </w:r>
    </w:p>
    <w:p>
      <w:pPr>
        <w:pStyle w:val="2"/>
        <w:spacing w:before="0" w:after="0"/>
        <w:jc w:val="left"/>
        <w:rPr>
          <w:rFonts w:ascii="黑体" w:hAnsi="黑体"/>
          <w:b w:val="0"/>
          <w:sz w:val="28"/>
          <w:szCs w:val="28"/>
        </w:rPr>
      </w:pPr>
      <w:bookmarkStart w:id="25" w:name="_Toc457465594"/>
      <w:bookmarkStart w:id="26" w:name="_Toc464978314"/>
      <w:r>
        <w:rPr>
          <w:rFonts w:hint="eastAsia" w:ascii="黑体" w:hAnsi="黑体"/>
          <w:b w:val="0"/>
          <w:sz w:val="28"/>
          <w:szCs w:val="28"/>
        </w:rPr>
        <w:t>5.2乡镇农村物流服务站</w:t>
      </w:r>
      <w:bookmarkEnd w:id="25"/>
      <w:bookmarkEnd w:id="26"/>
    </w:p>
    <w:p>
      <w:pPr>
        <w:spacing w:line="360" w:lineRule="auto"/>
        <w:ind w:firstLine="549" w:firstLineChars="196"/>
        <w:rPr>
          <w:rFonts w:ascii="仿宋_GB2312" w:eastAsia="仿宋_GB2312"/>
          <w:sz w:val="28"/>
          <w:szCs w:val="28"/>
        </w:rPr>
      </w:pPr>
      <w:r>
        <w:rPr>
          <w:rFonts w:hint="eastAsia" w:ascii="仿宋_GB2312" w:eastAsia="仿宋_GB2312"/>
          <w:sz w:val="28"/>
          <w:szCs w:val="28"/>
        </w:rPr>
        <w:t>——优先选择现有的农村乡镇客运站场，按照客运、物流、邮政、电商等“多站合一”的模式，对乡镇客运站和服务设施进行升级改造。</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——选择乡镇电商服务中心、邮政局(所)、农资站等，叠加物流服务功能。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——宜选择在交通便利、人口和商业活动集中地，具有停车、货物堆存等便于物流作业的场地。</w:t>
      </w:r>
    </w:p>
    <w:p>
      <w:pPr>
        <w:pStyle w:val="2"/>
        <w:spacing w:before="0" w:after="0"/>
        <w:jc w:val="left"/>
        <w:rPr>
          <w:rFonts w:ascii="黑体" w:hAnsi="黑体"/>
          <w:b w:val="0"/>
          <w:sz w:val="28"/>
          <w:szCs w:val="28"/>
        </w:rPr>
      </w:pPr>
      <w:bookmarkStart w:id="27" w:name="_Toc457465595"/>
      <w:bookmarkStart w:id="28" w:name="_Toc464978315"/>
      <w:r>
        <w:rPr>
          <w:rFonts w:hint="eastAsia" w:ascii="黑体" w:hAnsi="黑体"/>
          <w:b w:val="0"/>
          <w:sz w:val="28"/>
          <w:szCs w:val="28"/>
        </w:rPr>
        <w:t>5.3村级农村物流服务点</w:t>
      </w:r>
      <w:bookmarkEnd w:id="27"/>
      <w:bookmarkEnd w:id="28"/>
    </w:p>
    <w:p>
      <w:pPr>
        <w:spacing w:line="360" w:lineRule="auto"/>
        <w:ind w:firstLine="549" w:firstLineChars="196"/>
        <w:rPr>
          <w:rFonts w:ascii="仿宋_GB2312" w:eastAsia="仿宋_GB2312"/>
          <w:sz w:val="28"/>
          <w:szCs w:val="28"/>
        </w:rPr>
      </w:pPr>
      <w:r>
        <w:rPr>
          <w:rFonts w:hint="eastAsia" w:ascii="仿宋_GB2312" w:eastAsia="仿宋_GB2312"/>
          <w:sz w:val="28"/>
          <w:szCs w:val="28"/>
        </w:rPr>
        <w:t>——优先利用农家店（超市）、农村综合服务社、村邮站、农村电商服务点、农产品购销代办站等。</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——村级农村物流服务点合伙人宜具有以下条件：在当地具有一定影响力，家庭收入来源相对比较稳定，掌握电脑及互联网应用基本操作技能，有一定的奉献精神和服务意识。</w:t>
      </w:r>
    </w:p>
    <w:p>
      <w:pPr>
        <w:pStyle w:val="2"/>
        <w:spacing w:before="0" w:after="0"/>
        <w:jc w:val="left"/>
        <w:rPr>
          <w:rFonts w:ascii="黑体" w:hAnsi="黑体"/>
          <w:b w:val="0"/>
          <w:sz w:val="28"/>
          <w:szCs w:val="28"/>
        </w:rPr>
      </w:pPr>
      <w:bookmarkStart w:id="29" w:name="_Toc464978316"/>
      <w:bookmarkStart w:id="30" w:name="_Toc457465596"/>
      <w:r>
        <w:rPr>
          <w:rFonts w:hint="eastAsia" w:ascii="黑体" w:hAnsi="黑体"/>
          <w:b w:val="0"/>
          <w:sz w:val="28"/>
          <w:szCs w:val="28"/>
        </w:rPr>
        <w:t>6功能和布局</w:t>
      </w:r>
      <w:bookmarkEnd w:id="29"/>
      <w:bookmarkEnd w:id="30"/>
    </w:p>
    <w:p>
      <w:pPr>
        <w:pStyle w:val="2"/>
        <w:spacing w:before="0" w:after="0"/>
        <w:jc w:val="left"/>
        <w:rPr>
          <w:rFonts w:ascii="黑体" w:hAnsi="黑体"/>
          <w:b w:val="0"/>
          <w:sz w:val="28"/>
          <w:szCs w:val="28"/>
        </w:rPr>
      </w:pPr>
      <w:bookmarkStart w:id="31" w:name="_Toc457465597"/>
      <w:bookmarkStart w:id="32" w:name="_Toc464978317"/>
      <w:r>
        <w:rPr>
          <w:rFonts w:hint="eastAsia" w:ascii="黑体" w:hAnsi="黑体"/>
          <w:b w:val="0"/>
          <w:sz w:val="28"/>
          <w:szCs w:val="28"/>
        </w:rPr>
        <w:t>6.1县级农村物流中心</w:t>
      </w:r>
      <w:bookmarkEnd w:id="31"/>
      <w:bookmarkEnd w:id="32"/>
    </w:p>
    <w:p>
      <w:pPr>
        <w:pStyle w:val="2"/>
        <w:spacing w:before="0" w:after="0"/>
        <w:jc w:val="left"/>
        <w:rPr>
          <w:rFonts w:ascii="黑体" w:hAnsi="黑体"/>
          <w:b w:val="0"/>
          <w:sz w:val="28"/>
          <w:szCs w:val="28"/>
        </w:rPr>
      </w:pPr>
      <w:bookmarkStart w:id="33" w:name="_Toc464978318"/>
      <w:bookmarkStart w:id="34" w:name="_Toc457465598"/>
      <w:bookmarkStart w:id="35" w:name="_Toc457400301"/>
      <w:bookmarkStart w:id="36" w:name="_Toc457399374"/>
      <w:bookmarkStart w:id="37" w:name="_Toc457399291"/>
      <w:r>
        <w:rPr>
          <w:rFonts w:hint="eastAsia" w:ascii="黑体" w:hAnsi="黑体"/>
          <w:b w:val="0"/>
          <w:sz w:val="28"/>
          <w:szCs w:val="28"/>
        </w:rPr>
        <w:t>6.1.1功能</w:t>
      </w:r>
      <w:bookmarkEnd w:id="33"/>
      <w:bookmarkEnd w:id="34"/>
      <w:bookmarkEnd w:id="35"/>
      <w:bookmarkEnd w:id="36"/>
      <w:bookmarkEnd w:id="37"/>
    </w:p>
    <w:p>
      <w:pPr>
        <w:spacing w:line="360" w:lineRule="auto"/>
        <w:ind w:firstLine="549" w:firstLineChars="196"/>
        <w:rPr>
          <w:rFonts w:ascii="仿宋_GB2312" w:eastAsia="仿宋_GB2312"/>
          <w:sz w:val="28"/>
          <w:szCs w:val="28"/>
        </w:rPr>
      </w:pPr>
      <w:bookmarkStart w:id="38" w:name="_Toc457399292"/>
      <w:r>
        <w:rPr>
          <w:rFonts w:hint="eastAsia" w:ascii="仿宋_GB2312" w:eastAsia="仿宋_GB2312"/>
          <w:sz w:val="28"/>
          <w:szCs w:val="28"/>
        </w:rPr>
        <w:t>宜包括以下功能：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——运输组织功能。包括中转、装卸、分拣、配送。</w:t>
      </w:r>
      <w:bookmarkEnd w:id="38"/>
      <w:r>
        <w:rPr>
          <w:rFonts w:hint="eastAsia" w:ascii="仿宋_GB2312" w:eastAsia="仿宋_GB2312"/>
          <w:sz w:val="28"/>
          <w:szCs w:val="28"/>
        </w:rPr>
        <w:t xml:space="preserve"> </w:t>
      </w:r>
    </w:p>
    <w:p>
      <w:pPr>
        <w:spacing w:line="360" w:lineRule="auto"/>
        <w:ind w:firstLine="549" w:firstLineChars="196"/>
        <w:rPr>
          <w:rFonts w:ascii="仿宋_GB2312" w:eastAsia="仿宋_GB2312"/>
          <w:sz w:val="28"/>
          <w:szCs w:val="28"/>
        </w:rPr>
      </w:pPr>
      <w:bookmarkStart w:id="39" w:name="_Toc457399293"/>
      <w:r>
        <w:rPr>
          <w:rFonts w:hint="eastAsia" w:ascii="仿宋_GB2312" w:eastAsia="仿宋_GB2312"/>
          <w:sz w:val="28"/>
          <w:szCs w:val="28"/>
        </w:rPr>
        <w:t>——信息交易功能。车货信息收集、发布、匹配和交易。</w:t>
      </w:r>
      <w:bookmarkEnd w:id="39"/>
    </w:p>
    <w:p>
      <w:pPr>
        <w:spacing w:line="360" w:lineRule="auto"/>
        <w:ind w:firstLine="549" w:firstLineChars="196"/>
        <w:rPr>
          <w:rFonts w:ascii="仿宋_GB2312" w:eastAsia="仿宋_GB2312"/>
          <w:sz w:val="28"/>
          <w:szCs w:val="28"/>
        </w:rPr>
      </w:pPr>
      <w:bookmarkStart w:id="40" w:name="_Toc457399294"/>
      <w:r>
        <w:rPr>
          <w:rFonts w:hint="eastAsia" w:ascii="仿宋_GB2312" w:eastAsia="仿宋_GB2312"/>
          <w:sz w:val="28"/>
          <w:szCs w:val="28"/>
        </w:rPr>
        <w:t>——仓储服务功能。主要包括农产品冷藏、冷冻，普通仓储（农村日用品），专业仓储（农药、化肥）。</w:t>
      </w:r>
      <w:bookmarkEnd w:id="40"/>
    </w:p>
    <w:p>
      <w:pPr>
        <w:spacing w:line="360" w:lineRule="auto"/>
        <w:ind w:firstLine="549" w:firstLineChars="196"/>
        <w:rPr>
          <w:rFonts w:ascii="仿宋_GB2312" w:eastAsia="仿宋_GB2312"/>
          <w:sz w:val="28"/>
          <w:szCs w:val="28"/>
        </w:rPr>
      </w:pPr>
      <w:bookmarkStart w:id="41" w:name="_Toc457399295"/>
      <w:r>
        <w:rPr>
          <w:rFonts w:hint="eastAsia" w:ascii="仿宋_GB2312" w:eastAsia="仿宋_GB2312"/>
          <w:sz w:val="28"/>
          <w:szCs w:val="28"/>
        </w:rPr>
        <w:t>——物流增值服务功能。包括流通加工、包装等服务</w:t>
      </w:r>
      <w:bookmarkEnd w:id="41"/>
      <w:r>
        <w:rPr>
          <w:rFonts w:hint="eastAsia" w:ascii="仿宋_GB2312" w:eastAsia="仿宋_GB2312"/>
          <w:sz w:val="28"/>
          <w:szCs w:val="28"/>
        </w:rPr>
        <w:t>。</w:t>
      </w:r>
    </w:p>
    <w:p>
      <w:pPr>
        <w:spacing w:line="360" w:lineRule="auto"/>
        <w:ind w:firstLine="549" w:firstLineChars="196"/>
        <w:rPr>
          <w:rFonts w:ascii="仿宋_GB2312" w:eastAsia="仿宋_GB2312"/>
          <w:sz w:val="28"/>
          <w:szCs w:val="28"/>
        </w:rPr>
      </w:pPr>
      <w:bookmarkStart w:id="42" w:name="_Toc457399296"/>
      <w:r>
        <w:rPr>
          <w:rFonts w:hint="eastAsia" w:ascii="仿宋_GB2312" w:eastAsia="仿宋_GB2312"/>
          <w:sz w:val="28"/>
          <w:szCs w:val="28"/>
        </w:rPr>
        <w:t>——电商快递服务功能。包括为电商企业提供公共服务和快递包裹分拣、配送。</w:t>
      </w:r>
      <w:bookmarkEnd w:id="42"/>
    </w:p>
    <w:p>
      <w:pPr>
        <w:spacing w:line="360" w:lineRule="auto"/>
        <w:ind w:firstLine="549" w:firstLineChars="196"/>
        <w:rPr>
          <w:rFonts w:ascii="仿宋_GB2312" w:eastAsia="仿宋_GB2312"/>
          <w:sz w:val="28"/>
          <w:szCs w:val="28"/>
        </w:rPr>
      </w:pPr>
      <w:bookmarkStart w:id="43" w:name="_Toc457399297"/>
      <w:r>
        <w:rPr>
          <w:rFonts w:hint="eastAsia" w:ascii="仿宋_GB2312" w:eastAsia="仿宋_GB2312"/>
          <w:sz w:val="28"/>
          <w:szCs w:val="28"/>
        </w:rPr>
        <w:t>——配套服务功能。停车、餐饮、住宿、车辆检测、维修、保养、清洗等服务。</w:t>
      </w:r>
      <w:bookmarkEnd w:id="43"/>
    </w:p>
    <w:p>
      <w:pPr>
        <w:pStyle w:val="2"/>
        <w:spacing w:before="0" w:after="0"/>
        <w:jc w:val="left"/>
        <w:rPr>
          <w:rFonts w:ascii="黑体" w:hAnsi="黑体"/>
          <w:b w:val="0"/>
          <w:sz w:val="28"/>
          <w:szCs w:val="28"/>
        </w:rPr>
      </w:pPr>
      <w:bookmarkStart w:id="44" w:name="_Toc457399298"/>
      <w:bookmarkStart w:id="45" w:name="_Toc457399375"/>
      <w:bookmarkStart w:id="46" w:name="_Toc457465599"/>
      <w:bookmarkStart w:id="47" w:name="_Toc457400302"/>
      <w:bookmarkStart w:id="48" w:name="_Toc464978319"/>
      <w:r>
        <w:rPr>
          <w:rFonts w:hint="eastAsia" w:ascii="黑体" w:hAnsi="黑体"/>
          <w:b w:val="0"/>
          <w:sz w:val="28"/>
          <w:szCs w:val="28"/>
        </w:rPr>
        <w:t>6.1.2布局</w:t>
      </w:r>
      <w:bookmarkEnd w:id="44"/>
      <w:bookmarkEnd w:id="45"/>
      <w:bookmarkEnd w:id="46"/>
      <w:bookmarkEnd w:id="47"/>
      <w:bookmarkEnd w:id="48"/>
    </w:p>
    <w:p>
      <w:pPr>
        <w:spacing w:line="360" w:lineRule="auto"/>
        <w:ind w:firstLine="549" w:firstLineChars="196"/>
        <w:rPr>
          <w:rFonts w:ascii="仿宋_GB2312" w:eastAsia="仿宋_GB2312"/>
          <w:sz w:val="28"/>
          <w:szCs w:val="28"/>
        </w:rPr>
      </w:pPr>
      <w:r>
        <w:rPr>
          <w:rFonts w:hint="eastAsia" w:ascii="仿宋_GB2312" w:eastAsia="仿宋_GB2312"/>
          <w:sz w:val="28"/>
          <w:szCs w:val="28"/>
        </w:rPr>
        <w:t>——</w:t>
      </w:r>
      <w:r>
        <w:rPr>
          <w:rFonts w:ascii="仿宋_GB2312" w:eastAsia="仿宋_GB2312"/>
          <w:sz w:val="28"/>
          <w:szCs w:val="28"/>
        </w:rPr>
        <w:t>合理利用地形</w:t>
      </w:r>
      <w:r>
        <w:rPr>
          <w:rFonts w:hint="eastAsia" w:ascii="仿宋_GB2312" w:eastAsia="仿宋_GB2312"/>
          <w:sz w:val="28"/>
          <w:szCs w:val="28"/>
        </w:rPr>
        <w:t>，布局紧凑，节约用地，并留有发展余地。</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——根据实际需求划分不同的功能区域，并通过分析各功能区与外部环境、内部道路的关系以及各功能区之间的关系，合理确定站点的空间布局。</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——合理组织各种流线，使场内外车流、货流、机械流、人流便捷通畅，互不干扰。</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——符合国家和当地政府现行的安全、消防、环保等有关规定。</w:t>
      </w:r>
      <w:r>
        <w:rPr>
          <w:rFonts w:ascii="仿宋_GB2312" w:eastAsia="仿宋_GB2312"/>
          <w:sz w:val="28"/>
          <w:szCs w:val="28"/>
        </w:rPr>
        <w:t xml:space="preserve"> </w:t>
      </w:r>
    </w:p>
    <w:p>
      <w:pPr>
        <w:pStyle w:val="2"/>
        <w:spacing w:before="0" w:after="0"/>
        <w:jc w:val="left"/>
        <w:rPr>
          <w:rFonts w:ascii="黑体" w:hAnsi="黑体"/>
          <w:b w:val="0"/>
          <w:sz w:val="28"/>
          <w:szCs w:val="28"/>
        </w:rPr>
      </w:pPr>
      <w:bookmarkStart w:id="49" w:name="_Toc457465600"/>
      <w:bookmarkStart w:id="50" w:name="_Toc464978320"/>
      <w:r>
        <w:rPr>
          <w:rFonts w:hint="eastAsia" w:ascii="黑体" w:hAnsi="黑体"/>
          <w:b w:val="0"/>
          <w:sz w:val="28"/>
          <w:szCs w:val="28"/>
        </w:rPr>
        <w:t>6.2乡镇农村物流服务站</w:t>
      </w:r>
      <w:bookmarkEnd w:id="49"/>
      <w:bookmarkEnd w:id="50"/>
    </w:p>
    <w:p>
      <w:pPr>
        <w:pStyle w:val="2"/>
        <w:spacing w:before="0" w:after="0"/>
        <w:jc w:val="left"/>
        <w:rPr>
          <w:rFonts w:ascii="黑体" w:hAnsi="黑体"/>
          <w:b w:val="0"/>
          <w:sz w:val="28"/>
          <w:szCs w:val="28"/>
        </w:rPr>
      </w:pPr>
      <w:bookmarkStart w:id="51" w:name="_Toc457399300"/>
      <w:bookmarkStart w:id="52" w:name="_Toc457399377"/>
      <w:bookmarkStart w:id="53" w:name="_Toc464978321"/>
      <w:bookmarkStart w:id="54" w:name="_Toc457400304"/>
      <w:bookmarkStart w:id="55" w:name="_Toc457465601"/>
      <w:r>
        <w:rPr>
          <w:rFonts w:hint="eastAsia" w:ascii="黑体" w:hAnsi="黑体"/>
          <w:b w:val="0"/>
          <w:sz w:val="28"/>
          <w:szCs w:val="28"/>
        </w:rPr>
        <w:t>6.2.1功能</w:t>
      </w:r>
      <w:bookmarkEnd w:id="51"/>
      <w:bookmarkEnd w:id="52"/>
      <w:bookmarkEnd w:id="53"/>
      <w:bookmarkEnd w:id="54"/>
      <w:bookmarkEnd w:id="55"/>
    </w:p>
    <w:p>
      <w:pPr>
        <w:spacing w:line="360" w:lineRule="auto"/>
        <w:ind w:firstLine="549" w:firstLineChars="196"/>
        <w:rPr>
          <w:rFonts w:ascii="仿宋_GB2312" w:eastAsia="仿宋_GB2312"/>
          <w:sz w:val="28"/>
          <w:szCs w:val="28"/>
        </w:rPr>
      </w:pPr>
      <w:r>
        <w:rPr>
          <w:rFonts w:hint="eastAsia" w:ascii="仿宋_GB2312" w:eastAsia="仿宋_GB2312"/>
          <w:sz w:val="28"/>
          <w:szCs w:val="28"/>
        </w:rPr>
        <w:t>宜包括以下功能：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——快递包裹收寄功能。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——信息收集和发布功能。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——电商产品展示、代销代购功能。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——农产品收储、代购功能。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——便民服务功能，根据当地需求及条件提供缴费服务、票务服务、乘车服务等。</w:t>
      </w:r>
    </w:p>
    <w:p>
      <w:pPr>
        <w:pStyle w:val="2"/>
        <w:spacing w:before="0" w:after="0"/>
        <w:jc w:val="left"/>
        <w:rPr>
          <w:rFonts w:ascii="黑体" w:hAnsi="黑体"/>
          <w:b w:val="0"/>
          <w:sz w:val="28"/>
          <w:szCs w:val="28"/>
        </w:rPr>
      </w:pPr>
      <w:bookmarkStart w:id="56" w:name="_Toc457400305"/>
      <w:bookmarkStart w:id="57" w:name="_Toc464978322"/>
      <w:bookmarkStart w:id="58" w:name="_Toc457399378"/>
      <w:bookmarkStart w:id="59" w:name="_Toc457465602"/>
      <w:bookmarkStart w:id="60" w:name="_Toc457399301"/>
      <w:r>
        <w:rPr>
          <w:rFonts w:hint="eastAsia" w:ascii="黑体" w:hAnsi="黑体"/>
          <w:b w:val="0"/>
          <w:sz w:val="28"/>
          <w:szCs w:val="28"/>
        </w:rPr>
        <w:t>6.2.2布局</w:t>
      </w:r>
      <w:bookmarkEnd w:id="56"/>
      <w:bookmarkEnd w:id="57"/>
      <w:bookmarkEnd w:id="58"/>
      <w:bookmarkEnd w:id="59"/>
      <w:bookmarkEnd w:id="60"/>
    </w:p>
    <w:p>
      <w:pPr>
        <w:spacing w:line="360" w:lineRule="auto"/>
        <w:ind w:firstLine="549" w:firstLineChars="196"/>
        <w:rPr>
          <w:rFonts w:ascii="仿宋_GB2312" w:eastAsia="仿宋_GB2312"/>
          <w:sz w:val="28"/>
          <w:szCs w:val="28"/>
        </w:rPr>
      </w:pPr>
      <w:r>
        <w:rPr>
          <w:rFonts w:hint="eastAsia" w:ascii="仿宋_GB2312" w:eastAsia="仿宋_GB2312"/>
          <w:sz w:val="28"/>
          <w:szCs w:val="28"/>
        </w:rPr>
        <w:t>——合理划分功能分区。宜划分为：快递包裹作业区、农村电商服务区、货物堆存中转区、物流信息交易区、便民服务区。</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——布局相对紧凑，各功能区块设施相互交叉利用。</w:t>
      </w:r>
    </w:p>
    <w:p>
      <w:pPr>
        <w:pStyle w:val="2"/>
        <w:spacing w:before="0" w:after="0"/>
        <w:jc w:val="left"/>
        <w:rPr>
          <w:rFonts w:ascii="黑体" w:hAnsi="黑体"/>
          <w:b w:val="0"/>
          <w:sz w:val="28"/>
          <w:szCs w:val="28"/>
        </w:rPr>
      </w:pPr>
      <w:bookmarkStart w:id="61" w:name="_Toc464978323"/>
      <w:bookmarkStart w:id="62" w:name="_Toc457465603"/>
      <w:r>
        <w:rPr>
          <w:rFonts w:hint="eastAsia" w:ascii="黑体" w:hAnsi="黑体"/>
          <w:b w:val="0"/>
          <w:sz w:val="28"/>
          <w:szCs w:val="28"/>
        </w:rPr>
        <w:t>6.3村级农村物流服务点</w:t>
      </w:r>
      <w:bookmarkEnd w:id="61"/>
      <w:bookmarkEnd w:id="62"/>
    </w:p>
    <w:p>
      <w:pPr>
        <w:pStyle w:val="2"/>
        <w:spacing w:before="0" w:after="0"/>
        <w:jc w:val="left"/>
        <w:rPr>
          <w:rFonts w:ascii="黑体" w:hAnsi="黑体"/>
          <w:b w:val="0"/>
          <w:sz w:val="28"/>
          <w:szCs w:val="28"/>
        </w:rPr>
      </w:pPr>
      <w:bookmarkStart w:id="63" w:name="_Toc457399380"/>
      <w:bookmarkStart w:id="64" w:name="_Toc457400307"/>
      <w:bookmarkStart w:id="65" w:name="_Toc457465604"/>
      <w:bookmarkStart w:id="66" w:name="_Toc464978324"/>
      <w:bookmarkStart w:id="67" w:name="_Toc457399303"/>
      <w:r>
        <w:rPr>
          <w:rFonts w:hint="eastAsia" w:ascii="黑体" w:hAnsi="黑体"/>
          <w:b w:val="0"/>
          <w:sz w:val="28"/>
          <w:szCs w:val="28"/>
        </w:rPr>
        <w:t>6.3.1功能</w:t>
      </w:r>
      <w:bookmarkEnd w:id="63"/>
      <w:bookmarkEnd w:id="64"/>
      <w:bookmarkEnd w:id="65"/>
      <w:bookmarkEnd w:id="66"/>
      <w:bookmarkEnd w:id="67"/>
    </w:p>
    <w:p>
      <w:pPr>
        <w:spacing w:line="360" w:lineRule="auto"/>
        <w:ind w:firstLine="549" w:firstLineChars="196"/>
        <w:rPr>
          <w:rFonts w:ascii="仿宋_GB2312" w:eastAsia="仿宋_GB2312"/>
          <w:sz w:val="28"/>
          <w:szCs w:val="28"/>
        </w:rPr>
      </w:pPr>
      <w:r>
        <w:rPr>
          <w:rFonts w:hint="eastAsia" w:ascii="仿宋_GB2312" w:eastAsia="仿宋_GB2312"/>
          <w:sz w:val="28"/>
          <w:szCs w:val="28"/>
        </w:rPr>
        <w:t>宜包括以下功能：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——快递包裹收寄功能。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——信息收集和发布功能。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——农资、农产品、电商产品等代销代购功能。</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——便民服务功能，根据当地需求及条件提供助农取款、缴费服务、票务服务、乘车服务、社保服务。</w:t>
      </w:r>
    </w:p>
    <w:p>
      <w:pPr>
        <w:pStyle w:val="2"/>
        <w:spacing w:before="0" w:after="0"/>
        <w:jc w:val="left"/>
        <w:rPr>
          <w:rFonts w:ascii="黑体" w:hAnsi="黑体"/>
          <w:b w:val="0"/>
          <w:sz w:val="28"/>
          <w:szCs w:val="28"/>
        </w:rPr>
      </w:pPr>
      <w:bookmarkStart w:id="68" w:name="_Toc457399304"/>
      <w:bookmarkStart w:id="69" w:name="_Toc457399381"/>
      <w:bookmarkStart w:id="70" w:name="_Toc457400308"/>
      <w:bookmarkStart w:id="71" w:name="_Toc457465605"/>
      <w:bookmarkStart w:id="72" w:name="_Toc464978325"/>
      <w:r>
        <w:rPr>
          <w:rFonts w:hint="eastAsia" w:ascii="黑体" w:hAnsi="黑体"/>
          <w:b w:val="0"/>
          <w:sz w:val="28"/>
          <w:szCs w:val="28"/>
        </w:rPr>
        <w:t>6.3.2布局</w:t>
      </w:r>
      <w:bookmarkEnd w:id="68"/>
      <w:bookmarkEnd w:id="69"/>
      <w:bookmarkEnd w:id="70"/>
      <w:bookmarkEnd w:id="71"/>
      <w:bookmarkEnd w:id="72"/>
    </w:p>
    <w:p>
      <w:pPr>
        <w:spacing w:line="360" w:lineRule="auto"/>
        <w:ind w:firstLine="549" w:firstLineChars="196"/>
        <w:rPr>
          <w:rFonts w:ascii="仿宋_GB2312" w:eastAsia="仿宋_GB2312"/>
          <w:sz w:val="28"/>
          <w:szCs w:val="28"/>
        </w:rPr>
      </w:pPr>
      <w:r>
        <w:rPr>
          <w:rFonts w:hint="eastAsia" w:ascii="仿宋_GB2312" w:eastAsia="仿宋_GB2312"/>
          <w:sz w:val="28"/>
          <w:szCs w:val="28"/>
        </w:rPr>
        <w:t>——合理划分功能分区。宜划分为：快递包裹作业区、农产品收购储存区、农资储存区、便民服务区。</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——布局相对紧凑，各功能区块设施相互交叉利用。</w:t>
      </w:r>
    </w:p>
    <w:p>
      <w:pPr>
        <w:pStyle w:val="2"/>
        <w:spacing w:before="0" w:after="0"/>
        <w:jc w:val="left"/>
        <w:rPr>
          <w:rFonts w:ascii="黑体" w:hAnsi="黑体"/>
          <w:b w:val="0"/>
          <w:sz w:val="28"/>
          <w:szCs w:val="28"/>
        </w:rPr>
      </w:pPr>
      <w:bookmarkStart w:id="73" w:name="_Toc457465606"/>
      <w:bookmarkStart w:id="74" w:name="_Toc464978326"/>
      <w:r>
        <w:rPr>
          <w:rFonts w:hint="eastAsia" w:ascii="黑体" w:hAnsi="黑体"/>
          <w:b w:val="0"/>
          <w:sz w:val="28"/>
          <w:szCs w:val="28"/>
        </w:rPr>
        <w:t>7设施设备配备</w:t>
      </w:r>
      <w:bookmarkEnd w:id="73"/>
      <w:bookmarkEnd w:id="74"/>
    </w:p>
    <w:p>
      <w:pPr>
        <w:pStyle w:val="2"/>
        <w:spacing w:before="0" w:after="0"/>
        <w:jc w:val="left"/>
        <w:rPr>
          <w:rFonts w:ascii="黑体" w:hAnsi="黑体"/>
          <w:b w:val="0"/>
          <w:sz w:val="28"/>
          <w:szCs w:val="28"/>
        </w:rPr>
      </w:pPr>
      <w:bookmarkStart w:id="75" w:name="_Toc457399306"/>
      <w:bookmarkStart w:id="76" w:name="_Toc457465607"/>
      <w:bookmarkStart w:id="77" w:name="_Toc464978327"/>
      <w:r>
        <w:rPr>
          <w:rFonts w:hint="eastAsia" w:ascii="黑体" w:hAnsi="黑体"/>
          <w:b w:val="0"/>
          <w:sz w:val="28"/>
          <w:szCs w:val="28"/>
        </w:rPr>
        <w:t>7.1县级农村物流中心</w:t>
      </w:r>
      <w:bookmarkEnd w:id="75"/>
      <w:bookmarkEnd w:id="76"/>
      <w:bookmarkEnd w:id="77"/>
    </w:p>
    <w:p>
      <w:pPr>
        <w:spacing w:line="360" w:lineRule="auto"/>
        <w:ind w:firstLine="549" w:firstLineChars="196"/>
        <w:rPr>
          <w:rFonts w:ascii="仿宋_GB2312" w:eastAsia="仿宋_GB2312"/>
          <w:sz w:val="28"/>
          <w:szCs w:val="28"/>
        </w:rPr>
      </w:pPr>
      <w:r>
        <w:rPr>
          <w:rFonts w:hint="eastAsia" w:ascii="仿宋_GB2312" w:eastAsia="仿宋_GB2312"/>
          <w:sz w:val="28"/>
          <w:szCs w:val="28"/>
        </w:rPr>
        <w:t>——办公设施设备。为物流中心管理人员、入驻物流、电商等企业提供的办公管理用房、办公设备等。</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——物流设施设备。宜包括零担中转库、普通仓储库、冷藏冷冻库、堆场、停车场、装卸作业区等设施，以及货架、托盘、液压手推车、叉车、分拣设备、X光安检仪等设备。</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——信息服务中心。包括信息交换、通信、电子显示、监控设备，条码扫描</w:t>
      </w:r>
      <w:r>
        <w:rPr>
          <w:rFonts w:ascii="仿宋_GB2312" w:eastAsia="仿宋_GB2312"/>
          <w:sz w:val="28"/>
          <w:szCs w:val="28"/>
        </w:rPr>
        <w:t>器</w:t>
      </w:r>
      <w:r>
        <w:rPr>
          <w:rFonts w:hint="eastAsia" w:ascii="仿宋_GB2312" w:eastAsia="仿宋_GB2312"/>
          <w:sz w:val="28"/>
          <w:szCs w:val="28"/>
        </w:rPr>
        <w:t>、电脑或显示设备、无线WIFI路由器、移动信息终端等。</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——配套设施设备。包括餐饮、超市、车辆维修、清洗等设施设备。</w:t>
      </w:r>
    </w:p>
    <w:p>
      <w:pPr>
        <w:pStyle w:val="2"/>
        <w:spacing w:before="0" w:after="0"/>
        <w:jc w:val="left"/>
        <w:rPr>
          <w:rFonts w:ascii="黑体" w:hAnsi="黑体"/>
          <w:b w:val="0"/>
          <w:sz w:val="28"/>
          <w:szCs w:val="28"/>
        </w:rPr>
      </w:pPr>
      <w:bookmarkStart w:id="78" w:name="_Toc457465608"/>
      <w:bookmarkStart w:id="79" w:name="_Toc457399307"/>
      <w:bookmarkStart w:id="80" w:name="_Toc464978328"/>
      <w:r>
        <w:rPr>
          <w:rFonts w:hint="eastAsia" w:ascii="黑体" w:hAnsi="黑体"/>
          <w:b w:val="0"/>
          <w:sz w:val="28"/>
          <w:szCs w:val="28"/>
        </w:rPr>
        <w:t>7.2乡镇农村物流服务站</w:t>
      </w:r>
      <w:bookmarkEnd w:id="78"/>
      <w:bookmarkEnd w:id="79"/>
      <w:bookmarkEnd w:id="80"/>
    </w:p>
    <w:p>
      <w:pPr>
        <w:spacing w:line="360" w:lineRule="auto"/>
        <w:ind w:firstLine="549" w:firstLineChars="196"/>
        <w:rPr>
          <w:rFonts w:ascii="仿宋_GB2312" w:eastAsia="仿宋_GB2312"/>
          <w:sz w:val="28"/>
          <w:szCs w:val="28"/>
        </w:rPr>
      </w:pPr>
      <w:r>
        <w:rPr>
          <w:rFonts w:hint="eastAsia" w:ascii="仿宋_GB2312" w:eastAsia="仿宋_GB2312"/>
          <w:sz w:val="28"/>
          <w:szCs w:val="28"/>
        </w:rPr>
        <w:t>——办公设施设备。宜包括办公场地、桌椅、电话。</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——物流作业设施设备。宜包括堆场、仓库、停车场、货架、周转箱、配送车辆、称重设备等。</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——信息化设施设备。宜包括条码扫描器、电脑或显示设备、无线WIFI路由器、移动信息终端。</w:t>
      </w:r>
    </w:p>
    <w:p>
      <w:pPr>
        <w:pStyle w:val="2"/>
        <w:spacing w:before="0" w:after="0"/>
        <w:jc w:val="left"/>
        <w:rPr>
          <w:rFonts w:ascii="黑体" w:hAnsi="黑体"/>
          <w:b w:val="0"/>
          <w:sz w:val="28"/>
          <w:szCs w:val="28"/>
        </w:rPr>
      </w:pPr>
      <w:bookmarkStart w:id="81" w:name="_Toc457399308"/>
      <w:bookmarkStart w:id="82" w:name="_Toc457465609"/>
      <w:bookmarkStart w:id="83" w:name="_Toc464978329"/>
      <w:r>
        <w:rPr>
          <w:rFonts w:hint="eastAsia" w:ascii="黑体" w:hAnsi="黑体"/>
          <w:b w:val="0"/>
          <w:sz w:val="28"/>
          <w:szCs w:val="28"/>
        </w:rPr>
        <w:t>7.3村级农村物流服务点</w:t>
      </w:r>
      <w:bookmarkEnd w:id="81"/>
      <w:bookmarkEnd w:id="82"/>
      <w:bookmarkEnd w:id="83"/>
    </w:p>
    <w:p>
      <w:pPr>
        <w:spacing w:line="360" w:lineRule="auto"/>
        <w:ind w:firstLine="549" w:firstLineChars="196"/>
        <w:rPr>
          <w:rFonts w:ascii="仿宋_GB2312" w:eastAsia="仿宋_GB2312"/>
          <w:sz w:val="28"/>
          <w:szCs w:val="28"/>
        </w:rPr>
      </w:pPr>
      <w:r>
        <w:rPr>
          <w:rFonts w:hint="eastAsia" w:ascii="仿宋_GB2312" w:eastAsia="仿宋_GB2312"/>
          <w:sz w:val="28"/>
          <w:szCs w:val="28"/>
        </w:rPr>
        <w:t>——办公设施设备。宜包括办公场地、桌椅、电话。</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——物流作业设施设备。宜包括货物堆存场地、货架、周转箱、称重设备等。</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——信息化设施设备。宜包括条码扫描器，电脑或显示设备、无线WIFI路由器、移动信息终端。</w:t>
      </w:r>
    </w:p>
    <w:p>
      <w:pPr>
        <w:pStyle w:val="2"/>
        <w:spacing w:before="0" w:after="0"/>
        <w:jc w:val="left"/>
        <w:rPr>
          <w:rFonts w:ascii="黑体" w:hAnsi="黑体"/>
          <w:b w:val="0"/>
          <w:sz w:val="28"/>
          <w:szCs w:val="28"/>
        </w:rPr>
      </w:pPr>
      <w:bookmarkStart w:id="84" w:name="_Toc457465610"/>
      <w:bookmarkStart w:id="85" w:name="_Toc464978330"/>
      <w:r>
        <w:rPr>
          <w:rFonts w:hint="eastAsia" w:ascii="黑体" w:hAnsi="黑体"/>
          <w:b w:val="0"/>
          <w:sz w:val="28"/>
          <w:szCs w:val="28"/>
        </w:rPr>
        <w:t>8信息化建设</w:t>
      </w:r>
      <w:bookmarkEnd w:id="84"/>
      <w:bookmarkEnd w:id="85"/>
    </w:p>
    <w:p>
      <w:pPr>
        <w:spacing w:line="360" w:lineRule="auto"/>
        <w:ind w:firstLine="549" w:firstLineChars="196"/>
        <w:rPr>
          <w:rFonts w:ascii="仿宋_GB2312" w:eastAsia="仿宋_GB2312"/>
          <w:sz w:val="28"/>
          <w:szCs w:val="28"/>
        </w:rPr>
      </w:pPr>
      <w:r>
        <w:rPr>
          <w:rFonts w:hint="eastAsia" w:ascii="仿宋_GB2312" w:eastAsia="仿宋_GB2312"/>
          <w:sz w:val="28"/>
          <w:szCs w:val="28"/>
        </w:rPr>
        <w:t>——可依托县级物流中心、骨干物流企业信息系统或相关物流服务信息平台，搭建农村物流公共信息平台，提供物流供需信息的搜集、整理和发布，物流组织管理及其他相关公共信息服务。</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以农村物流企业为主体，对乡村信息服务站、农村综合服务社、超市、邮政三农服务站、村邮站、快递网点等基层农村物流节点的信息系统进行整合和升级改造，推进农村物流信息终端和设备标准化，实现与县级农村物流公共信息平台的互联互通。</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——乡镇农村物流服务站和村级农村物流服务点应培养和发展农村物流信息员，及时采集农村物流相关信息，通过网络、电话、短信等多种形式，实现信息的交互和共享。</w:t>
      </w:r>
    </w:p>
    <w:p>
      <w:pPr>
        <w:pStyle w:val="2"/>
        <w:spacing w:before="0" w:after="0"/>
        <w:jc w:val="left"/>
        <w:rPr>
          <w:rFonts w:ascii="黑体" w:hAnsi="黑体"/>
          <w:b w:val="0"/>
          <w:sz w:val="28"/>
          <w:szCs w:val="28"/>
        </w:rPr>
      </w:pPr>
      <w:bookmarkStart w:id="86" w:name="_Toc464978331"/>
      <w:bookmarkStart w:id="87" w:name="_Toc457465611"/>
      <w:r>
        <w:rPr>
          <w:rFonts w:hint="eastAsia" w:ascii="黑体" w:hAnsi="黑体"/>
          <w:b w:val="0"/>
          <w:sz w:val="28"/>
          <w:szCs w:val="28"/>
        </w:rPr>
        <w:t>9运营管理</w:t>
      </w:r>
      <w:bookmarkEnd w:id="86"/>
      <w:bookmarkEnd w:id="87"/>
    </w:p>
    <w:p>
      <w:pPr>
        <w:pStyle w:val="2"/>
        <w:spacing w:before="0" w:after="0"/>
        <w:jc w:val="left"/>
        <w:rPr>
          <w:rFonts w:ascii="黑体" w:hAnsi="黑体"/>
          <w:b w:val="0"/>
          <w:sz w:val="28"/>
          <w:szCs w:val="28"/>
        </w:rPr>
      </w:pPr>
      <w:bookmarkStart w:id="88" w:name="_Toc464978332"/>
      <w:r>
        <w:rPr>
          <w:rFonts w:ascii="黑体" w:hAnsi="黑体"/>
          <w:b w:val="0"/>
          <w:sz w:val="28"/>
          <w:szCs w:val="28"/>
        </w:rPr>
        <w:t>9.1运营管理模式</w:t>
      </w:r>
      <w:bookmarkEnd w:id="88"/>
    </w:p>
    <w:p>
      <w:pPr>
        <w:spacing w:line="360" w:lineRule="auto"/>
        <w:ind w:firstLine="549" w:firstLineChars="196"/>
        <w:rPr>
          <w:rFonts w:ascii="宋体" w:hAnsi="宋体"/>
          <w:sz w:val="28"/>
          <w:szCs w:val="28"/>
          <w:highlight w:val="yellow"/>
        </w:rPr>
      </w:pPr>
      <w:r>
        <w:rPr>
          <w:rFonts w:hint="eastAsia" w:ascii="仿宋_GB2312" w:eastAsia="仿宋_GB2312"/>
          <w:sz w:val="28"/>
          <w:szCs w:val="28"/>
        </w:rPr>
        <w:t>坚持市场主导、政府引导，支持各地开展交通、农业、商务、供销、邮政等部门间的合作，共同推进农村物流融合发展。充分调动骨干物流企业的积极性和主动性，鼓励企业创新农村物流节点运营管理模式，开展共建共管、联营合作，降低建设和运营成本，保障站场体系的可持续运营。</w:t>
      </w:r>
    </w:p>
    <w:p>
      <w:pPr>
        <w:pStyle w:val="2"/>
        <w:spacing w:before="0" w:after="0"/>
        <w:jc w:val="left"/>
        <w:rPr>
          <w:rFonts w:ascii="黑体" w:hAnsi="黑体"/>
          <w:b w:val="0"/>
          <w:sz w:val="28"/>
          <w:szCs w:val="28"/>
        </w:rPr>
      </w:pPr>
      <w:bookmarkStart w:id="89" w:name="_Toc464978333"/>
      <w:bookmarkStart w:id="90" w:name="_Toc457465612"/>
      <w:r>
        <w:rPr>
          <w:rFonts w:hint="eastAsia" w:ascii="黑体" w:hAnsi="黑体"/>
          <w:b w:val="0"/>
          <w:sz w:val="28"/>
          <w:szCs w:val="28"/>
        </w:rPr>
        <w:t>9.2安全运营要求</w:t>
      </w:r>
      <w:bookmarkEnd w:id="89"/>
      <w:bookmarkEnd w:id="90"/>
    </w:p>
    <w:p>
      <w:pPr>
        <w:spacing w:line="360" w:lineRule="auto"/>
        <w:ind w:firstLine="549" w:firstLineChars="196"/>
        <w:rPr>
          <w:rFonts w:ascii="仿宋_GB2312" w:eastAsia="仿宋_GB2312"/>
          <w:sz w:val="28"/>
          <w:szCs w:val="28"/>
        </w:rPr>
      </w:pPr>
      <w:r>
        <w:rPr>
          <w:rFonts w:hint="eastAsia" w:ascii="仿宋_GB2312" w:eastAsia="仿宋_GB2312"/>
          <w:sz w:val="28"/>
          <w:szCs w:val="28"/>
        </w:rPr>
        <w:t>——</w:t>
      </w:r>
      <w:r>
        <w:rPr>
          <w:rFonts w:ascii="仿宋_GB2312" w:eastAsia="仿宋_GB2312"/>
          <w:sz w:val="28"/>
          <w:szCs w:val="28"/>
        </w:rPr>
        <w:t>农村物流网络节点应建立健全相应的安全生产管理制度</w:t>
      </w:r>
      <w:r>
        <w:rPr>
          <w:rFonts w:hint="eastAsia" w:ascii="仿宋_GB2312" w:eastAsia="仿宋_GB2312"/>
          <w:sz w:val="28"/>
          <w:szCs w:val="28"/>
        </w:rPr>
        <w:t>，</w:t>
      </w:r>
      <w:r>
        <w:rPr>
          <w:rFonts w:ascii="仿宋_GB2312" w:eastAsia="仿宋_GB2312"/>
          <w:sz w:val="28"/>
          <w:szCs w:val="28"/>
        </w:rPr>
        <w:t>配备相应</w:t>
      </w:r>
      <w:r>
        <w:rPr>
          <w:rFonts w:hint="eastAsia" w:ascii="仿宋_GB2312" w:eastAsia="仿宋_GB2312"/>
          <w:sz w:val="28"/>
          <w:szCs w:val="28"/>
        </w:rPr>
        <w:t>的</w:t>
      </w:r>
      <w:r>
        <w:rPr>
          <w:rFonts w:ascii="仿宋_GB2312" w:eastAsia="仿宋_GB2312"/>
          <w:sz w:val="28"/>
          <w:szCs w:val="28"/>
        </w:rPr>
        <w:t>安全管理人员和设施设备</w:t>
      </w:r>
      <w:r>
        <w:rPr>
          <w:rFonts w:hint="eastAsia" w:ascii="仿宋_GB2312" w:eastAsia="仿宋_GB2312"/>
          <w:sz w:val="28"/>
          <w:szCs w:val="28"/>
        </w:rPr>
        <w:t>，完善</w:t>
      </w:r>
      <w:r>
        <w:rPr>
          <w:rFonts w:ascii="仿宋_GB2312" w:eastAsia="仿宋_GB2312"/>
          <w:sz w:val="28"/>
          <w:szCs w:val="28"/>
        </w:rPr>
        <w:t>安全生产条件</w:t>
      </w:r>
      <w:r>
        <w:rPr>
          <w:rFonts w:hint="eastAsia" w:ascii="仿宋_GB2312" w:eastAsia="仿宋_GB2312"/>
          <w:sz w:val="28"/>
          <w:szCs w:val="28"/>
        </w:rPr>
        <w:t>，做</w:t>
      </w:r>
      <w:r>
        <w:rPr>
          <w:rFonts w:ascii="仿宋_GB2312" w:eastAsia="仿宋_GB2312"/>
          <w:sz w:val="28"/>
          <w:szCs w:val="28"/>
        </w:rPr>
        <w:t>好安全宣传与教育</w:t>
      </w:r>
      <w:r>
        <w:rPr>
          <w:rFonts w:hint="eastAsia" w:ascii="仿宋_GB2312" w:eastAsia="仿宋_GB2312"/>
          <w:sz w:val="28"/>
          <w:szCs w:val="28"/>
        </w:rPr>
        <w:t>。</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公路货运和邮政快递等物流运营单位应当实行安全检查制度，按照规定对运输、寄递物品进行安全检查或者验视。对禁止运输、寄递，存在重大安全隐患，或者客户拒绝安全查验的物品，不得运输、寄递。物流运营单位应当建立客户身份、物品的信息登记制度。</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——货物堆码应符合物品理化性质要求，不得存放危险货物及其他列入违禁目录的货物。</w:t>
      </w:r>
    </w:p>
    <w:p>
      <w:pPr>
        <w:pStyle w:val="2"/>
        <w:spacing w:before="0" w:after="0"/>
        <w:jc w:val="left"/>
        <w:rPr>
          <w:rFonts w:ascii="黑体" w:hAnsi="黑体"/>
          <w:b w:val="0"/>
          <w:sz w:val="28"/>
          <w:szCs w:val="28"/>
        </w:rPr>
      </w:pPr>
      <w:bookmarkStart w:id="91" w:name="_Toc464978334"/>
      <w:bookmarkStart w:id="92" w:name="_Toc457465613"/>
      <w:r>
        <w:rPr>
          <w:rFonts w:hint="eastAsia" w:ascii="黑体" w:hAnsi="黑体"/>
          <w:b w:val="0"/>
          <w:sz w:val="28"/>
          <w:szCs w:val="28"/>
        </w:rPr>
        <w:t>9.3运营服务要求</w:t>
      </w:r>
      <w:bookmarkEnd w:id="91"/>
      <w:bookmarkEnd w:id="92"/>
    </w:p>
    <w:p>
      <w:pPr>
        <w:spacing w:line="360" w:lineRule="auto"/>
        <w:ind w:firstLine="549" w:firstLineChars="196"/>
        <w:rPr>
          <w:rFonts w:ascii="仿宋_GB2312" w:eastAsia="仿宋_GB2312"/>
          <w:sz w:val="28"/>
          <w:szCs w:val="28"/>
        </w:rPr>
      </w:pPr>
      <w:r>
        <w:rPr>
          <w:rFonts w:hint="eastAsia" w:ascii="仿宋_GB2312" w:eastAsia="仿宋_GB2312"/>
          <w:sz w:val="28"/>
          <w:szCs w:val="28"/>
        </w:rPr>
        <w:t>——货物受理时应进行核验，不得受理或组织运输法律、行政法规禁运的货物。如发现托运违禁货物应及时向有关机关举报。</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——对进出站点的各类物品按规定程序履行检查，各环节交接职责明确，交接记录完整、准确。</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——农村物流网络节点应及时受理农村物流运营的相关投诉，并确保投诉得到合理解决。</w:t>
      </w:r>
    </w:p>
    <w:p>
      <w:pPr>
        <w:spacing w:line="360" w:lineRule="auto"/>
        <w:ind w:firstLine="549" w:firstLineChars="196"/>
        <w:rPr>
          <w:rFonts w:ascii="仿宋_GB2312" w:eastAsia="仿宋_GB2312"/>
          <w:sz w:val="28"/>
          <w:szCs w:val="28"/>
        </w:rPr>
      </w:pPr>
      <w:r>
        <w:rPr>
          <w:rFonts w:hint="eastAsia" w:ascii="仿宋_GB2312" w:eastAsia="仿宋_GB2312"/>
          <w:sz w:val="28"/>
          <w:szCs w:val="28"/>
        </w:rPr>
        <w:t>——农村物流服务节点内应公示服务范围、收费标准、作业流程、投诉电话。</w:t>
      </w:r>
    </w:p>
    <w:p>
      <w:pPr>
        <w:pStyle w:val="2"/>
        <w:spacing w:before="0" w:after="0"/>
        <w:ind w:left="210" w:leftChars="100"/>
        <w:jc w:val="left"/>
        <w:rPr>
          <w:rFonts w:ascii="黑体" w:hAnsi="黑体"/>
          <w:b w:val="0"/>
          <w:sz w:val="28"/>
          <w:szCs w:val="28"/>
        </w:rPr>
      </w:pPr>
      <w:bookmarkStart w:id="93" w:name="_Toc464978335"/>
      <w:r>
        <w:rPr>
          <w:rFonts w:ascii="黑体" w:hAnsi="黑体"/>
          <w:b w:val="0"/>
          <w:sz w:val="28"/>
          <w:szCs w:val="28"/>
        </w:rPr>
        <w:t>9.4</w:t>
      </w:r>
      <w:r>
        <w:rPr>
          <w:rFonts w:hint="eastAsia" w:ascii="黑体" w:hAnsi="黑体"/>
          <w:b w:val="0"/>
          <w:sz w:val="28"/>
          <w:szCs w:val="28"/>
        </w:rPr>
        <w:t>品牌建设</w:t>
      </w:r>
      <w:bookmarkEnd w:id="93"/>
    </w:p>
    <w:p>
      <w:pPr>
        <w:spacing w:line="360" w:lineRule="auto"/>
        <w:ind w:firstLine="549" w:firstLineChars="196"/>
        <w:rPr>
          <w:rFonts w:ascii="仿宋_GB2312" w:eastAsia="仿宋_GB2312"/>
          <w:sz w:val="28"/>
          <w:szCs w:val="28"/>
        </w:rPr>
      </w:pPr>
      <w:r>
        <w:rPr>
          <w:rFonts w:hint="eastAsia" w:ascii="仿宋_GB2312" w:eastAsia="仿宋_GB2312"/>
          <w:sz w:val="28"/>
          <w:szCs w:val="28"/>
        </w:rPr>
        <w:t>——诚信体系建设。应建立健全农村物流站场运营的信用管理制度，建立失信行为惩戒机制。</w:t>
      </w:r>
    </w:p>
    <w:p>
      <w:pPr>
        <w:spacing w:line="360" w:lineRule="auto"/>
        <w:ind w:firstLine="549" w:firstLineChars="196"/>
        <w:rPr>
          <w:rFonts w:hint="eastAsia" w:ascii="仿宋_GB2312" w:eastAsia="仿宋_GB2312"/>
          <w:sz w:val="28"/>
          <w:szCs w:val="28"/>
        </w:rPr>
      </w:pPr>
      <w:r>
        <w:rPr>
          <w:rFonts w:hint="eastAsia" w:ascii="仿宋_GB2312" w:eastAsia="仿宋_GB2312"/>
          <w:sz w:val="28"/>
          <w:szCs w:val="28"/>
        </w:rPr>
        <w:t>——品牌形象识别。农村物流网络节点健全品牌形象，增强品牌辨识度和认知度，扩大品牌影响力。标识标牌宜兼顾标准化和个性化，在满足物流站点标识统一式样、统一编号、统一颜色的基础上，可兼顾融合站点经营企业的个性化标识。</w:t>
      </w:r>
    </w:p>
    <w:sectPr>
      <w:headerReference r:id="rId9" w:type="default"/>
      <w:footerReference r:id="rId10" w:type="default"/>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黑体">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22361"/>
    </w:sdtPr>
    <w:sdtContent>
      <w:p>
        <w:pPr>
          <w:pStyle w:val="8"/>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883676"/>
    </w:sdtPr>
    <w:sdtContent>
      <w:p>
        <w:pPr>
          <w:pStyle w:val="8"/>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329445"/>
    </w:sdtPr>
    <w:sdtContent>
      <w:p>
        <w:pPr>
          <w:pStyle w:val="8"/>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7282A"/>
    <w:rsid w:val="0000142F"/>
    <w:rsid w:val="00007C9B"/>
    <w:rsid w:val="00010E41"/>
    <w:rsid w:val="0002750B"/>
    <w:rsid w:val="00035BB7"/>
    <w:rsid w:val="00040084"/>
    <w:rsid w:val="000410E1"/>
    <w:rsid w:val="00042C30"/>
    <w:rsid w:val="00062927"/>
    <w:rsid w:val="00075F21"/>
    <w:rsid w:val="0007651F"/>
    <w:rsid w:val="00091264"/>
    <w:rsid w:val="00095930"/>
    <w:rsid w:val="000A4199"/>
    <w:rsid w:val="000B2394"/>
    <w:rsid w:val="000D0EFC"/>
    <w:rsid w:val="000E3939"/>
    <w:rsid w:val="000E66CD"/>
    <w:rsid w:val="000E7461"/>
    <w:rsid w:val="000F2EA1"/>
    <w:rsid w:val="000F55D0"/>
    <w:rsid w:val="000F5601"/>
    <w:rsid w:val="00100ACB"/>
    <w:rsid w:val="001018CF"/>
    <w:rsid w:val="00102A41"/>
    <w:rsid w:val="00116BEA"/>
    <w:rsid w:val="00120277"/>
    <w:rsid w:val="0012444B"/>
    <w:rsid w:val="001306CD"/>
    <w:rsid w:val="00132F2D"/>
    <w:rsid w:val="001450D5"/>
    <w:rsid w:val="00173970"/>
    <w:rsid w:val="001751AB"/>
    <w:rsid w:val="00183DEE"/>
    <w:rsid w:val="00196C0A"/>
    <w:rsid w:val="001B3C24"/>
    <w:rsid w:val="001B51B4"/>
    <w:rsid w:val="001C0851"/>
    <w:rsid w:val="001C22FF"/>
    <w:rsid w:val="001C2560"/>
    <w:rsid w:val="001C6A46"/>
    <w:rsid w:val="001D2062"/>
    <w:rsid w:val="001D69A8"/>
    <w:rsid w:val="001D7F48"/>
    <w:rsid w:val="00206807"/>
    <w:rsid w:val="0023534C"/>
    <w:rsid w:val="00237A39"/>
    <w:rsid w:val="00237F43"/>
    <w:rsid w:val="00245E53"/>
    <w:rsid w:val="00246372"/>
    <w:rsid w:val="00256688"/>
    <w:rsid w:val="002633C9"/>
    <w:rsid w:val="00264323"/>
    <w:rsid w:val="00273D26"/>
    <w:rsid w:val="00277488"/>
    <w:rsid w:val="00287BB0"/>
    <w:rsid w:val="002A4B06"/>
    <w:rsid w:val="002B0BF1"/>
    <w:rsid w:val="002B1874"/>
    <w:rsid w:val="002C2916"/>
    <w:rsid w:val="002C4DCB"/>
    <w:rsid w:val="002C500E"/>
    <w:rsid w:val="002C5477"/>
    <w:rsid w:val="002D08D8"/>
    <w:rsid w:val="002E35A2"/>
    <w:rsid w:val="002F466D"/>
    <w:rsid w:val="0031020D"/>
    <w:rsid w:val="00313F98"/>
    <w:rsid w:val="00321EF6"/>
    <w:rsid w:val="00333DB2"/>
    <w:rsid w:val="00336749"/>
    <w:rsid w:val="00341F69"/>
    <w:rsid w:val="00345441"/>
    <w:rsid w:val="003634F5"/>
    <w:rsid w:val="003722FD"/>
    <w:rsid w:val="003747C5"/>
    <w:rsid w:val="00380DEA"/>
    <w:rsid w:val="003811F7"/>
    <w:rsid w:val="00381582"/>
    <w:rsid w:val="00381FDF"/>
    <w:rsid w:val="003A5859"/>
    <w:rsid w:val="003A6002"/>
    <w:rsid w:val="003B6CD7"/>
    <w:rsid w:val="003B7BF1"/>
    <w:rsid w:val="003D10B5"/>
    <w:rsid w:val="003D6122"/>
    <w:rsid w:val="003E0983"/>
    <w:rsid w:val="003E1F60"/>
    <w:rsid w:val="003E24F7"/>
    <w:rsid w:val="003E2FBE"/>
    <w:rsid w:val="003E71E3"/>
    <w:rsid w:val="003F15F8"/>
    <w:rsid w:val="003F3844"/>
    <w:rsid w:val="00400A36"/>
    <w:rsid w:val="004066B8"/>
    <w:rsid w:val="00414694"/>
    <w:rsid w:val="0042332C"/>
    <w:rsid w:val="00426A73"/>
    <w:rsid w:val="00435EF7"/>
    <w:rsid w:val="00443BBE"/>
    <w:rsid w:val="00446047"/>
    <w:rsid w:val="004545EB"/>
    <w:rsid w:val="00462B20"/>
    <w:rsid w:val="00472F59"/>
    <w:rsid w:val="00473BF1"/>
    <w:rsid w:val="00494E62"/>
    <w:rsid w:val="004954A1"/>
    <w:rsid w:val="00496094"/>
    <w:rsid w:val="004C0DA9"/>
    <w:rsid w:val="004C1C49"/>
    <w:rsid w:val="004C2CEC"/>
    <w:rsid w:val="004E287F"/>
    <w:rsid w:val="004E68FF"/>
    <w:rsid w:val="004E73C8"/>
    <w:rsid w:val="004E7D45"/>
    <w:rsid w:val="004F3A67"/>
    <w:rsid w:val="004F5713"/>
    <w:rsid w:val="00501211"/>
    <w:rsid w:val="00505185"/>
    <w:rsid w:val="00514EF5"/>
    <w:rsid w:val="00524655"/>
    <w:rsid w:val="00524F17"/>
    <w:rsid w:val="005469C7"/>
    <w:rsid w:val="005615B3"/>
    <w:rsid w:val="005649A6"/>
    <w:rsid w:val="005660BB"/>
    <w:rsid w:val="00571DCC"/>
    <w:rsid w:val="0057497A"/>
    <w:rsid w:val="005749BF"/>
    <w:rsid w:val="00574AED"/>
    <w:rsid w:val="00581724"/>
    <w:rsid w:val="00586EBF"/>
    <w:rsid w:val="005A18B0"/>
    <w:rsid w:val="005A2A9C"/>
    <w:rsid w:val="005C2B71"/>
    <w:rsid w:val="005E29CE"/>
    <w:rsid w:val="005F0BC4"/>
    <w:rsid w:val="00607A1E"/>
    <w:rsid w:val="006138C5"/>
    <w:rsid w:val="00613F94"/>
    <w:rsid w:val="00616E91"/>
    <w:rsid w:val="006226EC"/>
    <w:rsid w:val="006278F7"/>
    <w:rsid w:val="00633D8C"/>
    <w:rsid w:val="00646593"/>
    <w:rsid w:val="0065037B"/>
    <w:rsid w:val="00655EB8"/>
    <w:rsid w:val="006665A1"/>
    <w:rsid w:val="0067007A"/>
    <w:rsid w:val="00670B79"/>
    <w:rsid w:val="006748F5"/>
    <w:rsid w:val="006841A7"/>
    <w:rsid w:val="00684F8E"/>
    <w:rsid w:val="00695963"/>
    <w:rsid w:val="006B00DD"/>
    <w:rsid w:val="006B3485"/>
    <w:rsid w:val="006E22AD"/>
    <w:rsid w:val="006E5030"/>
    <w:rsid w:val="006F10E0"/>
    <w:rsid w:val="006F45EC"/>
    <w:rsid w:val="00707301"/>
    <w:rsid w:val="00722D7A"/>
    <w:rsid w:val="0073726A"/>
    <w:rsid w:val="007441D7"/>
    <w:rsid w:val="00747203"/>
    <w:rsid w:val="00754F8C"/>
    <w:rsid w:val="00765207"/>
    <w:rsid w:val="00770234"/>
    <w:rsid w:val="007763A2"/>
    <w:rsid w:val="007832D7"/>
    <w:rsid w:val="0078342F"/>
    <w:rsid w:val="00783891"/>
    <w:rsid w:val="00791CEF"/>
    <w:rsid w:val="0079771E"/>
    <w:rsid w:val="007C546C"/>
    <w:rsid w:val="007D15A1"/>
    <w:rsid w:val="007D658F"/>
    <w:rsid w:val="007D7D78"/>
    <w:rsid w:val="007E5C0C"/>
    <w:rsid w:val="007F5C2E"/>
    <w:rsid w:val="007F6469"/>
    <w:rsid w:val="007F7DCB"/>
    <w:rsid w:val="008014EC"/>
    <w:rsid w:val="0080662D"/>
    <w:rsid w:val="0081148A"/>
    <w:rsid w:val="00811B38"/>
    <w:rsid w:val="00815634"/>
    <w:rsid w:val="00820CB9"/>
    <w:rsid w:val="00821C9E"/>
    <w:rsid w:val="00824ECD"/>
    <w:rsid w:val="0082632A"/>
    <w:rsid w:val="00843EDA"/>
    <w:rsid w:val="00854612"/>
    <w:rsid w:val="00872AD5"/>
    <w:rsid w:val="00873FCA"/>
    <w:rsid w:val="00874EF4"/>
    <w:rsid w:val="00876B8E"/>
    <w:rsid w:val="00877321"/>
    <w:rsid w:val="00884978"/>
    <w:rsid w:val="00884C66"/>
    <w:rsid w:val="00892AC5"/>
    <w:rsid w:val="008A2185"/>
    <w:rsid w:val="008A4D93"/>
    <w:rsid w:val="008C5924"/>
    <w:rsid w:val="008D2E4B"/>
    <w:rsid w:val="008D628E"/>
    <w:rsid w:val="008E1B09"/>
    <w:rsid w:val="008F409C"/>
    <w:rsid w:val="008F5D9A"/>
    <w:rsid w:val="009008F2"/>
    <w:rsid w:val="00903EB9"/>
    <w:rsid w:val="009212AA"/>
    <w:rsid w:val="00921539"/>
    <w:rsid w:val="00934E91"/>
    <w:rsid w:val="00936A72"/>
    <w:rsid w:val="00941D71"/>
    <w:rsid w:val="00956673"/>
    <w:rsid w:val="00962CD9"/>
    <w:rsid w:val="009652B8"/>
    <w:rsid w:val="0097282A"/>
    <w:rsid w:val="009739AB"/>
    <w:rsid w:val="009824B8"/>
    <w:rsid w:val="00990B7B"/>
    <w:rsid w:val="009A6872"/>
    <w:rsid w:val="009B2B56"/>
    <w:rsid w:val="009C0A15"/>
    <w:rsid w:val="009C3D14"/>
    <w:rsid w:val="009D7839"/>
    <w:rsid w:val="009E66B8"/>
    <w:rsid w:val="00A00CF0"/>
    <w:rsid w:val="00A04D11"/>
    <w:rsid w:val="00A16BAF"/>
    <w:rsid w:val="00A226B4"/>
    <w:rsid w:val="00A3191D"/>
    <w:rsid w:val="00A35491"/>
    <w:rsid w:val="00A6363B"/>
    <w:rsid w:val="00A80A8E"/>
    <w:rsid w:val="00A95013"/>
    <w:rsid w:val="00AA0A4C"/>
    <w:rsid w:val="00AA41A8"/>
    <w:rsid w:val="00AC5722"/>
    <w:rsid w:val="00AC7DC3"/>
    <w:rsid w:val="00AD1722"/>
    <w:rsid w:val="00AD5CD4"/>
    <w:rsid w:val="00AD721B"/>
    <w:rsid w:val="00AE0E7F"/>
    <w:rsid w:val="00AE3D24"/>
    <w:rsid w:val="00AE3FD9"/>
    <w:rsid w:val="00AF1386"/>
    <w:rsid w:val="00B01C95"/>
    <w:rsid w:val="00B060D0"/>
    <w:rsid w:val="00B11F5B"/>
    <w:rsid w:val="00B31709"/>
    <w:rsid w:val="00B41F1B"/>
    <w:rsid w:val="00B666E5"/>
    <w:rsid w:val="00B806A5"/>
    <w:rsid w:val="00B861F5"/>
    <w:rsid w:val="00B93D7E"/>
    <w:rsid w:val="00B95879"/>
    <w:rsid w:val="00BA28DC"/>
    <w:rsid w:val="00BB063D"/>
    <w:rsid w:val="00BB15E7"/>
    <w:rsid w:val="00BB1700"/>
    <w:rsid w:val="00BB2FA7"/>
    <w:rsid w:val="00BC0B01"/>
    <w:rsid w:val="00BC45E4"/>
    <w:rsid w:val="00BD3F55"/>
    <w:rsid w:val="00BE425A"/>
    <w:rsid w:val="00BE6B93"/>
    <w:rsid w:val="00BF438C"/>
    <w:rsid w:val="00BF68B3"/>
    <w:rsid w:val="00C01B06"/>
    <w:rsid w:val="00C02222"/>
    <w:rsid w:val="00C02E1C"/>
    <w:rsid w:val="00C041E3"/>
    <w:rsid w:val="00C1639D"/>
    <w:rsid w:val="00C22E6E"/>
    <w:rsid w:val="00C3123A"/>
    <w:rsid w:val="00C34C1D"/>
    <w:rsid w:val="00C37710"/>
    <w:rsid w:val="00C40EAA"/>
    <w:rsid w:val="00C431AF"/>
    <w:rsid w:val="00C44DDD"/>
    <w:rsid w:val="00C45A6A"/>
    <w:rsid w:val="00C46EF2"/>
    <w:rsid w:val="00C47D2A"/>
    <w:rsid w:val="00C62213"/>
    <w:rsid w:val="00C642D3"/>
    <w:rsid w:val="00C677CD"/>
    <w:rsid w:val="00C81756"/>
    <w:rsid w:val="00C81F33"/>
    <w:rsid w:val="00C9022E"/>
    <w:rsid w:val="00C92E11"/>
    <w:rsid w:val="00CC2B61"/>
    <w:rsid w:val="00CC7D10"/>
    <w:rsid w:val="00CD2D2D"/>
    <w:rsid w:val="00CD6441"/>
    <w:rsid w:val="00CE68C5"/>
    <w:rsid w:val="00D01A11"/>
    <w:rsid w:val="00D030EC"/>
    <w:rsid w:val="00D13279"/>
    <w:rsid w:val="00D2278B"/>
    <w:rsid w:val="00D25FF2"/>
    <w:rsid w:val="00D338FD"/>
    <w:rsid w:val="00D3405B"/>
    <w:rsid w:val="00D371E0"/>
    <w:rsid w:val="00D40DE8"/>
    <w:rsid w:val="00D4613D"/>
    <w:rsid w:val="00D476C6"/>
    <w:rsid w:val="00D6105B"/>
    <w:rsid w:val="00D77DEA"/>
    <w:rsid w:val="00D81888"/>
    <w:rsid w:val="00DA588C"/>
    <w:rsid w:val="00DA69FE"/>
    <w:rsid w:val="00DB1C24"/>
    <w:rsid w:val="00DC5F1B"/>
    <w:rsid w:val="00DD0909"/>
    <w:rsid w:val="00DD79C9"/>
    <w:rsid w:val="00DE382D"/>
    <w:rsid w:val="00DF25D9"/>
    <w:rsid w:val="00DF3598"/>
    <w:rsid w:val="00DF64B2"/>
    <w:rsid w:val="00DF6CE6"/>
    <w:rsid w:val="00E13272"/>
    <w:rsid w:val="00E136DB"/>
    <w:rsid w:val="00E173F0"/>
    <w:rsid w:val="00E47168"/>
    <w:rsid w:val="00E50282"/>
    <w:rsid w:val="00E51769"/>
    <w:rsid w:val="00E53B70"/>
    <w:rsid w:val="00E5597C"/>
    <w:rsid w:val="00E771C1"/>
    <w:rsid w:val="00E80912"/>
    <w:rsid w:val="00E809F9"/>
    <w:rsid w:val="00E82C1F"/>
    <w:rsid w:val="00E864FF"/>
    <w:rsid w:val="00EA4608"/>
    <w:rsid w:val="00EA4C74"/>
    <w:rsid w:val="00EA55A9"/>
    <w:rsid w:val="00EA6379"/>
    <w:rsid w:val="00EB4D02"/>
    <w:rsid w:val="00EC156E"/>
    <w:rsid w:val="00EC4837"/>
    <w:rsid w:val="00EC5070"/>
    <w:rsid w:val="00ED6E82"/>
    <w:rsid w:val="00EE4F94"/>
    <w:rsid w:val="00EF1362"/>
    <w:rsid w:val="00EF1A36"/>
    <w:rsid w:val="00EF2EC9"/>
    <w:rsid w:val="00EF6788"/>
    <w:rsid w:val="00F030FF"/>
    <w:rsid w:val="00F05446"/>
    <w:rsid w:val="00F13265"/>
    <w:rsid w:val="00F161C3"/>
    <w:rsid w:val="00F20DE0"/>
    <w:rsid w:val="00F350D0"/>
    <w:rsid w:val="00F350EA"/>
    <w:rsid w:val="00F54552"/>
    <w:rsid w:val="00F5564F"/>
    <w:rsid w:val="00F605A0"/>
    <w:rsid w:val="00F609D5"/>
    <w:rsid w:val="00F720F5"/>
    <w:rsid w:val="00F77B2C"/>
    <w:rsid w:val="00FA4F1B"/>
    <w:rsid w:val="00FC36D2"/>
    <w:rsid w:val="00FC59B8"/>
    <w:rsid w:val="00FD3DE4"/>
    <w:rsid w:val="00FE4FBB"/>
    <w:rsid w:val="00FF7507"/>
    <w:rsid w:val="069068E4"/>
    <w:rsid w:val="3C344BB3"/>
    <w:rsid w:val="67537C92"/>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0"/>
    <w:pPr>
      <w:keepNext/>
      <w:spacing w:before="240" w:after="240" w:line="360" w:lineRule="auto"/>
      <w:jc w:val="center"/>
      <w:outlineLvl w:val="0"/>
    </w:pPr>
    <w:rPr>
      <w:rFonts w:ascii="Times New Roman" w:hAnsi="Times New Roman" w:eastAsia="黑体" w:cs="Times New Roman"/>
      <w:b/>
      <w:kern w:val="44"/>
      <w:sz w:val="32"/>
      <w:szCs w:val="20"/>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24"/>
    <w:unhideWhenUsed/>
    <w:qFormat/>
    <w:uiPriority w:val="99"/>
    <w:rPr>
      <w:rFonts w:ascii="宋体" w:eastAsia="宋体"/>
      <w:sz w:val="18"/>
      <w:szCs w:val="18"/>
    </w:rPr>
  </w:style>
  <w:style w:type="paragraph" w:styleId="5">
    <w:name w:val="annotation text"/>
    <w:basedOn w:val="1"/>
    <w:link w:val="25"/>
    <w:unhideWhenUsed/>
    <w:qFormat/>
    <w:uiPriority w:val="99"/>
    <w:pPr>
      <w:jc w:val="left"/>
    </w:pPr>
  </w:style>
  <w:style w:type="paragraph" w:styleId="6">
    <w:name w:val="toc 3"/>
    <w:basedOn w:val="1"/>
    <w:next w:val="1"/>
    <w:unhideWhenUsed/>
    <w:qFormat/>
    <w:uiPriority w:val="39"/>
    <w:pPr>
      <w:widowControl/>
      <w:spacing w:after="100" w:line="276" w:lineRule="auto"/>
      <w:ind w:left="440"/>
      <w:jc w:val="left"/>
    </w:pPr>
    <w:rPr>
      <w:kern w:val="0"/>
      <w:sz w:val="22"/>
    </w:rPr>
  </w:style>
  <w:style w:type="paragraph" w:styleId="7">
    <w:name w:val="Balloon Text"/>
    <w:basedOn w:val="1"/>
    <w:link w:val="18"/>
    <w:unhideWhenUsed/>
    <w:qFormat/>
    <w:uiPriority w:val="99"/>
    <w:rPr>
      <w:sz w:val="18"/>
      <w:szCs w:val="18"/>
    </w:r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tabs>
        <w:tab w:val="right" w:leader="dot" w:pos="8302"/>
      </w:tabs>
      <w:spacing w:after="100" w:line="276" w:lineRule="auto"/>
      <w:jc w:val="left"/>
    </w:pPr>
    <w:rPr>
      <w:rFonts w:ascii="黑体" w:hAnsi="黑体" w:eastAsia="黑体"/>
      <w:kern w:val="0"/>
      <w:sz w:val="22"/>
    </w:rPr>
  </w:style>
  <w:style w:type="paragraph" w:styleId="11">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uiPriority w:val="99"/>
    <w:rPr>
      <w:color w:val="0563C1" w:themeColor="hyperlink"/>
      <w:u w:val="single"/>
    </w:rPr>
  </w:style>
  <w:style w:type="character" w:styleId="14">
    <w:name w:val="annotation reference"/>
    <w:basedOn w:val="12"/>
    <w:unhideWhenUsed/>
    <w:qFormat/>
    <w:uiPriority w:val="99"/>
    <w:rPr>
      <w:sz w:val="21"/>
      <w:szCs w:val="21"/>
    </w:rPr>
  </w:style>
  <w:style w:type="table" w:styleId="16">
    <w:name w:val="Table Grid"/>
    <w:basedOn w:val="1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character" w:customStyle="1" w:styleId="18">
    <w:name w:val="批注框文本 Char"/>
    <w:basedOn w:val="12"/>
    <w:link w:val="7"/>
    <w:semiHidden/>
    <w:qFormat/>
    <w:uiPriority w:val="99"/>
    <w:rPr>
      <w:sz w:val="18"/>
      <w:szCs w:val="18"/>
    </w:rPr>
  </w:style>
  <w:style w:type="character" w:customStyle="1" w:styleId="19">
    <w:name w:val="标题 2 Char"/>
    <w:basedOn w:val="12"/>
    <w:link w:val="3"/>
    <w:qFormat/>
    <w:uiPriority w:val="9"/>
    <w:rPr>
      <w:rFonts w:asciiTheme="majorHAnsi" w:hAnsiTheme="majorHAnsi" w:eastAsiaTheme="majorEastAsia" w:cstheme="majorBidi"/>
      <w:b/>
      <w:bCs/>
      <w:sz w:val="32"/>
      <w:szCs w:val="32"/>
    </w:rPr>
  </w:style>
  <w:style w:type="character" w:customStyle="1" w:styleId="20">
    <w:name w:val="页眉 Char"/>
    <w:basedOn w:val="12"/>
    <w:link w:val="9"/>
    <w:qFormat/>
    <w:uiPriority w:val="99"/>
    <w:rPr>
      <w:sz w:val="18"/>
      <w:szCs w:val="18"/>
    </w:rPr>
  </w:style>
  <w:style w:type="character" w:customStyle="1" w:styleId="21">
    <w:name w:val="报告正文 Char Char"/>
    <w:link w:val="22"/>
    <w:qFormat/>
    <w:uiPriority w:val="0"/>
    <w:rPr>
      <w:rFonts w:ascii="Times New Roman" w:hAnsi="Times New Roman" w:eastAsia="仿宋_GB2312" w:cs="Times New Roman"/>
      <w:sz w:val="32"/>
      <w:szCs w:val="32"/>
      <w:lang w:val="en-US"/>
    </w:rPr>
  </w:style>
  <w:style w:type="paragraph" w:customStyle="1" w:styleId="22">
    <w:name w:val="报告正文"/>
    <w:basedOn w:val="1"/>
    <w:link w:val="21"/>
    <w:qFormat/>
    <w:uiPriority w:val="0"/>
    <w:pPr>
      <w:spacing w:before="120" w:line="360" w:lineRule="auto"/>
      <w:ind w:firstLine="640" w:firstLineChars="200"/>
    </w:pPr>
    <w:rPr>
      <w:rFonts w:ascii="Times New Roman" w:hAnsi="Times New Roman" w:eastAsia="仿宋_GB2312" w:cs="Times New Roman"/>
      <w:sz w:val="32"/>
      <w:szCs w:val="32"/>
    </w:rPr>
  </w:style>
  <w:style w:type="character" w:customStyle="1" w:styleId="23">
    <w:name w:val="页脚 Char"/>
    <w:basedOn w:val="12"/>
    <w:link w:val="8"/>
    <w:qFormat/>
    <w:uiPriority w:val="99"/>
    <w:rPr>
      <w:sz w:val="18"/>
      <w:szCs w:val="18"/>
    </w:rPr>
  </w:style>
  <w:style w:type="character" w:customStyle="1" w:styleId="24">
    <w:name w:val="文档结构图 Char"/>
    <w:basedOn w:val="12"/>
    <w:link w:val="4"/>
    <w:semiHidden/>
    <w:qFormat/>
    <w:uiPriority w:val="99"/>
    <w:rPr>
      <w:rFonts w:ascii="宋体" w:eastAsia="宋体"/>
      <w:sz w:val="18"/>
      <w:szCs w:val="18"/>
    </w:rPr>
  </w:style>
  <w:style w:type="character" w:customStyle="1" w:styleId="25">
    <w:name w:val="批注文字 Char"/>
    <w:basedOn w:val="12"/>
    <w:link w:val="5"/>
    <w:semiHidden/>
    <w:uiPriority w:val="99"/>
  </w:style>
  <w:style w:type="paragraph" w:customStyle="1" w:styleId="26">
    <w:name w:val="p0"/>
    <w:basedOn w:val="1"/>
    <w:uiPriority w:val="0"/>
    <w:pPr>
      <w:widowControl/>
    </w:pPr>
    <w:rPr>
      <w:rFonts w:ascii="Calibri" w:hAnsi="Calibri" w:eastAsia="宋体" w:cs="宋体"/>
      <w:kern w:val="0"/>
      <w:szCs w:val="21"/>
    </w:rPr>
  </w:style>
  <w:style w:type="character" w:customStyle="1" w:styleId="27">
    <w:name w:val="标题 1 Char"/>
    <w:basedOn w:val="12"/>
    <w:link w:val="2"/>
    <w:uiPriority w:val="0"/>
    <w:rPr>
      <w:rFonts w:ascii="Times New Roman" w:hAnsi="Times New Roman" w:eastAsia="黑体" w:cs="Times New Roman"/>
      <w:b/>
      <w:kern w:val="44"/>
      <w:sz w:val="32"/>
      <w:szCs w:val="20"/>
    </w:rPr>
  </w:style>
  <w:style w:type="paragraph" w:customStyle="1" w:styleId="28">
    <w:name w:val="TOC Heading"/>
    <w:basedOn w:val="2"/>
    <w:next w:val="1"/>
    <w:unhideWhenUsed/>
    <w:qFormat/>
    <w:uiPriority w:val="39"/>
    <w:pPr>
      <w:keepLines/>
      <w:widowControl/>
      <w:spacing w:before="480" w:after="0" w:line="276" w:lineRule="auto"/>
      <w:jc w:val="left"/>
      <w:outlineLvl w:val="9"/>
    </w:pPr>
    <w:rPr>
      <w:rFonts w:asciiTheme="majorHAnsi" w:hAnsiTheme="majorHAnsi" w:eastAsiaTheme="majorEastAsia" w:cstheme="majorBidi"/>
      <w:bCs/>
      <w:color w:val="2E75B5" w:themeColor="accent1" w:themeShade="BF"/>
      <w:kern w:val="0"/>
      <w:sz w:val="28"/>
      <w:szCs w:val="28"/>
    </w:rPr>
  </w:style>
  <w:style w:type="character" w:customStyle="1" w:styleId="29">
    <w:name w:val="报告正文 Char"/>
    <w:uiPriority w:val="0"/>
    <w:rPr>
      <w:rFonts w:ascii="仿宋_GB2312" w:hAnsi="仿宋" w:eastAsia="仿宋_GB2312"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254AEE-A240-42B7-B659-4FEE587EF88B}">
  <ds:schemaRefs/>
</ds:datastoreItem>
</file>

<file path=docProps/app.xml><?xml version="1.0" encoding="utf-8"?>
<Properties xmlns="http://schemas.openxmlformats.org/officeDocument/2006/extended-properties" xmlns:vt="http://schemas.openxmlformats.org/officeDocument/2006/docPropsVTypes">
  <Template>Normal</Template>
  <Company>TPRI</Company>
  <Pages>18</Pages>
  <Words>1459</Words>
  <Characters>8317</Characters>
  <Lines>69</Lines>
  <Paragraphs>19</Paragraphs>
  <TotalTime>0</TotalTime>
  <ScaleCrop>false</ScaleCrop>
  <LinksUpToDate>false</LinksUpToDate>
  <CharactersWithSpaces>9757</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2016-10-21T08:34:00Z</dcterms:created>
  <dc:creator>高美真</dc:creator>
  <cp:lastModifiedBy>hb</cp:lastModifiedBy>
  <cp:lastPrinted>2016-10-17T06:43:00Z</cp:lastPrinted>
  <dcterms:modified xsi:type="dcterms:W3CDTF">2016-10-31T06:09:25Z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